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1EAD45FD"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903398">
        <w:rPr>
          <w:rFonts w:ascii="Gadugi" w:hAnsi="Gadugi" w:cs="Arial"/>
          <w:b/>
          <w:color w:val="262626" w:themeColor="text1" w:themeTint="D9"/>
          <w:sz w:val="36"/>
          <w:szCs w:val="36"/>
        </w:rPr>
        <w:t xml:space="preserve">        </w:t>
      </w:r>
      <w:r w:rsidR="00C761A7">
        <w:rPr>
          <w:rFonts w:ascii="Gadugi" w:hAnsi="Gadugi" w:cs="Arial"/>
          <w:b/>
          <w:color w:val="262626" w:themeColor="text1" w:themeTint="D9"/>
          <w:sz w:val="36"/>
          <w:szCs w:val="36"/>
        </w:rPr>
        <w:t xml:space="preserve">  </w:t>
      </w:r>
      <w:r w:rsidR="00903398">
        <w:rPr>
          <w:rFonts w:ascii="Gadugi" w:hAnsi="Gadugi" w:cs="Arial"/>
          <w:b/>
          <w:color w:val="262626" w:themeColor="text1" w:themeTint="D9"/>
          <w:sz w:val="36"/>
          <w:szCs w:val="36"/>
        </w:rPr>
        <w:t xml:space="preserve">  </w:t>
      </w:r>
      <w:r w:rsidR="0035158F">
        <w:rPr>
          <w:rFonts w:ascii="Gadugi" w:hAnsi="Gadugi" w:cs="Arial"/>
          <w:b/>
          <w:color w:val="06486F"/>
          <w:sz w:val="32"/>
          <w:szCs w:val="32"/>
        </w:rPr>
        <w:t>Science</w:t>
      </w:r>
      <w:r w:rsidR="00903398">
        <w:rPr>
          <w:rFonts w:ascii="Gadugi" w:hAnsi="Gadugi" w:cs="Arial"/>
          <w:b/>
          <w:color w:val="06486F"/>
          <w:sz w:val="32"/>
          <w:szCs w:val="32"/>
        </w:rPr>
        <w:t xml:space="preserve">: </w:t>
      </w:r>
      <w:r w:rsidR="00C761A7">
        <w:rPr>
          <w:rFonts w:ascii="Gadugi" w:hAnsi="Gadugi" w:cs="Arial"/>
          <w:b/>
          <w:color w:val="06486F"/>
          <w:sz w:val="32"/>
          <w:szCs w:val="32"/>
        </w:rPr>
        <w:t>Physics</w:t>
      </w:r>
      <w:r w:rsidR="00903398">
        <w:rPr>
          <w:rFonts w:ascii="Gadugi" w:hAnsi="Gadugi" w:cs="Arial"/>
          <w:b/>
          <w:color w:val="06486F"/>
          <w:sz w:val="32"/>
          <w:szCs w:val="32"/>
        </w:rPr>
        <w:t xml:space="preserve"> </w:t>
      </w:r>
      <w:bookmarkStart w:id="0" w:name="_GoBack"/>
      <w:bookmarkEnd w:id="0"/>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823C4B">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2B6308">
        <w:rPr>
          <w:rFonts w:ascii="Gadugi" w:hAnsi="Gadugi" w:cs="Arial"/>
          <w:b/>
          <w:color w:val="06486F"/>
          <w:sz w:val="32"/>
          <w:szCs w:val="32"/>
        </w:rPr>
        <w:t>6</w:t>
      </w:r>
      <w:r w:rsidR="00FE39B0" w:rsidRPr="000B60FD">
        <w:rPr>
          <w:rFonts w:ascii="Gadugi" w:hAnsi="Gadugi" w:cs="Arial"/>
          <w:b/>
          <w:color w:val="06486F"/>
          <w:sz w:val="32"/>
          <w:szCs w:val="32"/>
        </w:rPr>
        <w:t>-202</w:t>
      </w:r>
      <w:r w:rsidR="002B6308">
        <w:rPr>
          <w:rFonts w:ascii="Gadugi" w:hAnsi="Gadugi" w:cs="Arial"/>
          <w:b/>
          <w:color w:val="06486F"/>
          <w:sz w:val="32"/>
          <w:szCs w:val="32"/>
        </w:rPr>
        <w:t>7</w:t>
      </w:r>
    </w:p>
    <w:tbl>
      <w:tblPr>
        <w:tblStyle w:val="TableGrid"/>
        <w:tblW w:w="15715"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12"/>
        <w:gridCol w:w="1755"/>
        <w:gridCol w:w="3969"/>
        <w:gridCol w:w="6095"/>
        <w:gridCol w:w="2684"/>
      </w:tblGrid>
      <w:tr w:rsidR="000E51B3" w:rsidRPr="00344FC8" w14:paraId="3FBD6533" w14:textId="7D22EC26" w:rsidTr="00C761A7">
        <w:trPr>
          <w:trHeight w:val="744"/>
        </w:trPr>
        <w:tc>
          <w:tcPr>
            <w:tcW w:w="1212" w:type="dxa"/>
            <w:shd w:val="clear" w:color="auto" w:fill="06486F"/>
            <w:vAlign w:val="center"/>
          </w:tcPr>
          <w:p w14:paraId="395B3DF5" w14:textId="2CE98FB2" w:rsidR="00984DB7" w:rsidRPr="00984DB7" w:rsidRDefault="00984DB7" w:rsidP="00984DB7">
            <w:pPr>
              <w:jc w:val="center"/>
              <w:rPr>
                <w:rFonts w:ascii="Gadugi" w:hAnsi="Gadugi" w:cs="Arial"/>
                <w:b/>
                <w:color w:val="FFFFFF" w:themeColor="background1"/>
                <w:sz w:val="24"/>
                <w:szCs w:val="24"/>
              </w:rPr>
            </w:pPr>
            <w:r>
              <w:rPr>
                <w:rFonts w:ascii="Gadugi" w:hAnsi="Gadugi" w:cs="Arial"/>
                <w:b/>
                <w:color w:val="FFFFFF" w:themeColor="background1"/>
                <w:sz w:val="24"/>
                <w:szCs w:val="24"/>
              </w:rPr>
              <w:t>Calendar</w:t>
            </w:r>
          </w:p>
        </w:tc>
        <w:tc>
          <w:tcPr>
            <w:tcW w:w="1755" w:type="dxa"/>
            <w:shd w:val="clear" w:color="auto" w:fill="06486F"/>
            <w:vAlign w:val="center"/>
          </w:tcPr>
          <w:p w14:paraId="583F0382" w14:textId="79B53FB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969" w:type="dxa"/>
            <w:shd w:val="clear" w:color="auto" w:fill="06486F"/>
            <w:vAlign w:val="center"/>
          </w:tcPr>
          <w:p w14:paraId="04767DE7" w14:textId="0351D27D" w:rsidR="00984DB7" w:rsidRPr="000B60FD" w:rsidRDefault="00984DB7"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6095" w:type="dxa"/>
            <w:shd w:val="clear" w:color="auto" w:fill="06486F"/>
            <w:vAlign w:val="center"/>
          </w:tcPr>
          <w:p w14:paraId="4F4CA3B4" w14:textId="60BDBA7D" w:rsidR="00984DB7" w:rsidRPr="000B60FD" w:rsidRDefault="00984DB7"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984DB7" w:rsidRPr="000B60FD" w:rsidRDefault="00984DB7"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2684" w:type="dxa"/>
            <w:shd w:val="clear" w:color="auto" w:fill="06486F"/>
            <w:vAlign w:val="center"/>
          </w:tcPr>
          <w:p w14:paraId="149201DD" w14:textId="281EC8E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984DB7" w:rsidRPr="000B60FD" w:rsidRDefault="00984DB7" w:rsidP="008F07B2">
            <w:pPr>
              <w:jc w:val="center"/>
              <w:rPr>
                <w:rFonts w:ascii="Gadugi" w:hAnsi="Gadugi" w:cs="Arial"/>
                <w:i/>
                <w:color w:val="FFFFFF" w:themeColor="background1"/>
                <w:sz w:val="24"/>
                <w:szCs w:val="24"/>
              </w:rPr>
            </w:pPr>
            <w:r w:rsidRPr="006C2F78">
              <w:rPr>
                <w:rFonts w:ascii="Gadugi" w:hAnsi="Gadugi" w:cs="Arial"/>
                <w:i/>
                <w:color w:val="FFFFFF" w:themeColor="background1"/>
                <w:sz w:val="16"/>
                <w:szCs w:val="16"/>
              </w:rPr>
              <w:t>reading - vocabulary - oracy - writing</w:t>
            </w:r>
          </w:p>
        </w:tc>
      </w:tr>
      <w:tr w:rsidR="00C761A7" w:rsidRPr="00344FC8" w14:paraId="2B77DDA8" w14:textId="77777777" w:rsidTr="00C761A7">
        <w:trPr>
          <w:trHeight w:val="5620"/>
        </w:trPr>
        <w:tc>
          <w:tcPr>
            <w:tcW w:w="1212" w:type="dxa"/>
          </w:tcPr>
          <w:p w14:paraId="7F0D5AF5" w14:textId="54D8E934"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Autumn Term – HT1  </w:t>
            </w:r>
          </w:p>
        </w:tc>
        <w:tc>
          <w:tcPr>
            <w:tcW w:w="1755" w:type="dxa"/>
          </w:tcPr>
          <w:p w14:paraId="3420169B" w14:textId="34C85EE9" w:rsidR="00C761A7" w:rsidRPr="00C761A7" w:rsidRDefault="00C761A7" w:rsidP="00C761A7">
            <w:pPr>
              <w:rPr>
                <w:rFonts w:ascii="Gadugi" w:hAnsi="Gadugi" w:cs="Arial"/>
                <w:color w:val="1F3864" w:themeColor="accent5" w:themeShade="80"/>
                <w:sz w:val="24"/>
                <w:szCs w:val="24"/>
              </w:rPr>
            </w:pPr>
            <w:r w:rsidRPr="00C761A7">
              <w:rPr>
                <w:rFonts w:ascii="Gadugi" w:hAnsi="Gadugi" w:cs="Arial"/>
                <w:color w:val="1F3864" w:themeColor="accent5" w:themeShade="80"/>
                <w:sz w:val="24"/>
                <w:szCs w:val="24"/>
              </w:rPr>
              <w:t>P1 Conservation and Dissipation of Energy: Changes in energy stores, Conservation of energy, Energy and work, GPE stores, KE and elastic energy stores,</w:t>
            </w:r>
          </w:p>
          <w:p w14:paraId="3E675CEB" w14:textId="4E1016DE"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 </w:t>
            </w:r>
          </w:p>
        </w:tc>
        <w:tc>
          <w:tcPr>
            <w:tcW w:w="3969" w:type="dxa"/>
          </w:tcPr>
          <w:p w14:paraId="4D6E380E" w14:textId="333A90D5" w:rsidR="002B6308" w:rsidRDefault="002B6308" w:rsidP="002B6308">
            <w:pPr>
              <w:rPr>
                <w:rFonts w:ascii="Gadugi" w:hAnsi="Gadugi" w:cs="Arial"/>
                <w:color w:val="06486F"/>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w:t>
            </w:r>
            <w:r>
              <w:rPr>
                <w:rFonts w:ascii="Gadugi" w:hAnsi="Gadugi" w:cs="Arial"/>
                <w:color w:val="06486F"/>
              </w:rPr>
              <w:t>P</w:t>
            </w:r>
            <w:r>
              <w:rPr>
                <w:rFonts w:ascii="Gadugi" w:hAnsi="Gadugi" w:cs="Arial"/>
                <w:color w:val="06486F"/>
              </w:rPr>
              <w:t xml:space="preserve">1. </w:t>
            </w:r>
            <w:proofErr w:type="spellStart"/>
            <w:r>
              <w:rPr>
                <w:rFonts w:ascii="Gadugi" w:hAnsi="Gadugi" w:cs="Arial"/>
                <w:color w:val="06486F"/>
              </w:rPr>
              <w:t>Tassomai</w:t>
            </w:r>
            <w:proofErr w:type="spellEnd"/>
            <w:r>
              <w:rPr>
                <w:rFonts w:ascii="Gadugi" w:hAnsi="Gadugi" w:cs="Arial"/>
                <w:color w:val="06486F"/>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186961B5" w14:textId="77777777" w:rsidR="002B6308" w:rsidRDefault="002B6308" w:rsidP="002B6308">
            <w:pPr>
              <w:rPr>
                <w:rFonts w:ascii="Gadugi" w:hAnsi="Gadugi" w:cs="Arial"/>
                <w:color w:val="06486F"/>
              </w:rPr>
            </w:pPr>
            <w:r>
              <w:rPr>
                <w:rFonts w:ascii="Gadugi" w:hAnsi="Gadugi" w:cs="Arial"/>
                <w:color w:val="06486F"/>
              </w:rPr>
              <w:t xml:space="preserve">Teachers monitor student engagement, identify knowledge gaps, and plan interventions using the </w:t>
            </w:r>
            <w:proofErr w:type="spellStart"/>
            <w:r>
              <w:rPr>
                <w:rFonts w:ascii="Gadugi" w:hAnsi="Gadugi" w:cs="Arial"/>
                <w:color w:val="06486F"/>
              </w:rPr>
              <w:t>Tassomai</w:t>
            </w:r>
            <w:proofErr w:type="spellEnd"/>
            <w:r>
              <w:rPr>
                <w:rFonts w:ascii="Gadugi" w:hAnsi="Gadugi" w:cs="Arial"/>
                <w:color w:val="06486F"/>
              </w:rPr>
              <w:t xml:space="preserve"> dashboard and analysis tools.  For example, to identify misconceptions before a test or assessment.  Science Leads use the analysis tools to look at data on a more macro-level to adjust </w:t>
            </w:r>
            <w:proofErr w:type="spellStart"/>
            <w:r>
              <w:rPr>
                <w:rFonts w:ascii="Gadugi" w:hAnsi="Gadugi" w:cs="Arial"/>
                <w:color w:val="06486F"/>
              </w:rPr>
              <w:t>SoL</w:t>
            </w:r>
            <w:proofErr w:type="spellEnd"/>
            <w:r>
              <w:rPr>
                <w:rFonts w:ascii="Gadugi" w:hAnsi="Gadugi" w:cs="Arial"/>
                <w:color w:val="06486F"/>
              </w:rPr>
              <w:t xml:space="preserve"> and select pupil groups for interventions.</w:t>
            </w:r>
          </w:p>
          <w:p w14:paraId="1DD61075" w14:textId="77777777" w:rsidR="002B6308" w:rsidRDefault="002B6308" w:rsidP="002B6308">
            <w:pPr>
              <w:rPr>
                <w:rFonts w:ascii="Gadugi" w:hAnsi="Gadugi" w:cs="Arial"/>
                <w:color w:val="06486F"/>
              </w:rPr>
            </w:pPr>
          </w:p>
          <w:p w14:paraId="384218B8" w14:textId="77777777" w:rsidR="002B6308" w:rsidRDefault="002B6308" w:rsidP="002B6308">
            <w:pPr>
              <w:rPr>
                <w:rFonts w:ascii="Gadugi" w:hAnsi="Gadugi" w:cs="Arial"/>
                <w:color w:val="06486F"/>
              </w:rPr>
            </w:pPr>
            <w:r>
              <w:rPr>
                <w:rFonts w:ascii="Gadugi" w:hAnsi="Gadugi" w:cs="Arial"/>
                <w:color w:val="06486F"/>
              </w:rPr>
              <w:t>KTTs used as low-stakes assessments through the topic to support learning.</w:t>
            </w:r>
          </w:p>
          <w:p w14:paraId="5ABB17DE" w14:textId="77777777" w:rsidR="002B6308" w:rsidRDefault="002B6308" w:rsidP="002B6308">
            <w:pPr>
              <w:rPr>
                <w:rFonts w:ascii="Gadugi" w:hAnsi="Gadugi" w:cs="Arial"/>
                <w:color w:val="06486F"/>
              </w:rPr>
            </w:pPr>
          </w:p>
          <w:p w14:paraId="568F955C" w14:textId="77777777" w:rsidR="002B6308" w:rsidRDefault="002B6308" w:rsidP="002B6308">
            <w:pPr>
              <w:rPr>
                <w:rFonts w:ascii="Gadugi" w:hAnsi="Gadugi" w:cs="Arial"/>
                <w:color w:val="06486F"/>
              </w:rPr>
            </w:pPr>
            <w:r>
              <w:rPr>
                <w:rFonts w:ascii="Gadugi" w:hAnsi="Gadugi" w:cs="Arial"/>
                <w:color w:val="06486F"/>
              </w:rPr>
              <w:t xml:space="preserve">Topic specific extended writing task with individual written teacher feedback. </w:t>
            </w:r>
          </w:p>
          <w:p w14:paraId="5D61D1F9" w14:textId="77777777" w:rsidR="002B6308" w:rsidRDefault="002B6308" w:rsidP="002B6308">
            <w:pPr>
              <w:rPr>
                <w:rFonts w:ascii="Gadugi" w:hAnsi="Gadugi" w:cs="Arial"/>
                <w:color w:val="06486F"/>
              </w:rPr>
            </w:pPr>
          </w:p>
          <w:p w14:paraId="1E647D36" w14:textId="299F133E" w:rsidR="00C761A7" w:rsidRPr="00C761A7" w:rsidRDefault="00C761A7" w:rsidP="002B6308">
            <w:pPr>
              <w:rPr>
                <w:rFonts w:ascii="Gadugi" w:hAnsi="Gadugi" w:cs="Arial"/>
                <w:color w:val="1F3864" w:themeColor="accent5" w:themeShade="80"/>
                <w:sz w:val="24"/>
                <w:szCs w:val="24"/>
              </w:rPr>
            </w:pPr>
          </w:p>
        </w:tc>
        <w:tc>
          <w:tcPr>
            <w:tcW w:w="6095" w:type="dxa"/>
          </w:tcPr>
          <w:p w14:paraId="77C5031D" w14:textId="77777777" w:rsidR="00C761A7" w:rsidRPr="00C761A7" w:rsidRDefault="00C761A7" w:rsidP="00C761A7">
            <w:pPr>
              <w:rPr>
                <w:rFonts w:ascii="Gadugi" w:hAnsi="Gadugi" w:cs="Arial"/>
                <w:color w:val="1F3864" w:themeColor="accent5" w:themeShade="80"/>
                <w:sz w:val="24"/>
                <w:szCs w:val="24"/>
              </w:rPr>
            </w:pPr>
            <w:r w:rsidRPr="00C761A7">
              <w:rPr>
                <w:rFonts w:ascii="Gadugi" w:hAnsi="Gadugi" w:cs="Arial"/>
                <w:color w:val="1F3864" w:themeColor="accent5" w:themeShade="80"/>
                <w:sz w:val="24"/>
                <w:szCs w:val="24"/>
              </w:rPr>
              <w:t>Explain why this topic is being taught at this point. This could focus on the specific content knowledge being taught, subject themes within the topic or subject skills that weave through the curriculum.</w:t>
            </w:r>
          </w:p>
          <w:p w14:paraId="5C1569F7" w14:textId="77777777" w:rsidR="00C761A7" w:rsidRPr="00C761A7" w:rsidRDefault="00C761A7" w:rsidP="00C761A7">
            <w:pPr>
              <w:rPr>
                <w:rFonts w:ascii="Gadugi" w:hAnsi="Gadugi" w:cs="Arial"/>
                <w:color w:val="1F3864" w:themeColor="accent5" w:themeShade="80"/>
                <w:sz w:val="24"/>
                <w:szCs w:val="24"/>
              </w:rPr>
            </w:pPr>
          </w:p>
          <w:p w14:paraId="1024524B" w14:textId="3C8F2171"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Conservation of energy is a cornerstone concept of Physics. Each topic within Physics will involve systems (an object or group of objects) in some regard, with most examples being closed systems where all energy transfers are accounted for. Math skills are embedded here which are crucial throughout the Physics specification including: rearranging equations, plotting graphs, converting units, standard form and significant figures. </w:t>
            </w:r>
          </w:p>
        </w:tc>
        <w:tc>
          <w:tcPr>
            <w:tcW w:w="2684" w:type="dxa"/>
          </w:tcPr>
          <w:p w14:paraId="3543C676" w14:textId="77777777" w:rsidR="00C761A7" w:rsidRPr="00C761A7" w:rsidRDefault="00C761A7" w:rsidP="00C761A7">
            <w:pPr>
              <w:rPr>
                <w:rFonts w:ascii="Gadugi" w:hAnsi="Gadugi" w:cs="Arial"/>
                <w:color w:val="1F3864" w:themeColor="accent5" w:themeShade="80"/>
                <w:sz w:val="24"/>
                <w:szCs w:val="24"/>
              </w:rPr>
            </w:pPr>
            <w:r w:rsidRPr="00C761A7">
              <w:rPr>
                <w:rFonts w:ascii="Gadugi" w:hAnsi="Gadugi" w:cs="Arial"/>
                <w:color w:val="1F3864" w:themeColor="accent5" w:themeShade="80"/>
                <w:sz w:val="24"/>
                <w:szCs w:val="24"/>
              </w:rPr>
              <w:t xml:space="preserve">Command words list given to gain understanding of specific examination command words. </w:t>
            </w:r>
          </w:p>
          <w:p w14:paraId="04216BFF" w14:textId="77777777" w:rsidR="00C761A7" w:rsidRPr="00C761A7" w:rsidRDefault="00C761A7" w:rsidP="00C761A7">
            <w:pPr>
              <w:rPr>
                <w:rFonts w:ascii="Gadugi" w:hAnsi="Gadugi" w:cs="Arial"/>
                <w:color w:val="1F3864" w:themeColor="accent5" w:themeShade="80"/>
                <w:sz w:val="24"/>
                <w:szCs w:val="24"/>
              </w:rPr>
            </w:pPr>
          </w:p>
          <w:p w14:paraId="1138C1EC" w14:textId="77777777" w:rsidR="00C761A7" w:rsidRPr="00C761A7" w:rsidRDefault="00C761A7" w:rsidP="00C761A7">
            <w:pPr>
              <w:rPr>
                <w:rFonts w:ascii="Gadugi" w:hAnsi="Gadugi" w:cs="Arial"/>
                <w:color w:val="1F3864" w:themeColor="accent5" w:themeShade="80"/>
                <w:sz w:val="24"/>
                <w:szCs w:val="24"/>
              </w:rPr>
            </w:pPr>
            <w:r w:rsidRPr="00C761A7">
              <w:rPr>
                <w:rFonts w:ascii="Gadugi" w:hAnsi="Gadugi" w:cs="Arial"/>
                <w:color w:val="1F3864" w:themeColor="accent5" w:themeShade="80"/>
                <w:sz w:val="24"/>
                <w:szCs w:val="24"/>
              </w:rPr>
              <w:t xml:space="preserve">Glossary of keywords given to assist in disciplinary words used throughout energy topic. </w:t>
            </w:r>
          </w:p>
          <w:p w14:paraId="49743B9F" w14:textId="77777777" w:rsidR="00C761A7" w:rsidRPr="00C761A7" w:rsidRDefault="00C761A7" w:rsidP="00C761A7">
            <w:pPr>
              <w:rPr>
                <w:rFonts w:ascii="Gadugi" w:hAnsi="Gadugi" w:cs="Arial"/>
                <w:color w:val="1F3864" w:themeColor="accent5" w:themeShade="80"/>
                <w:sz w:val="24"/>
                <w:szCs w:val="24"/>
              </w:rPr>
            </w:pPr>
          </w:p>
          <w:p w14:paraId="5C75BA45" w14:textId="0B202825"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Science specific bilingual and picture dictionaries given for EAL pupils catered to their home language.  </w:t>
            </w:r>
          </w:p>
        </w:tc>
      </w:tr>
      <w:tr w:rsidR="00C761A7" w:rsidRPr="00344FC8" w14:paraId="02A4C652" w14:textId="77777777" w:rsidTr="00C761A7">
        <w:trPr>
          <w:trHeight w:val="744"/>
        </w:trPr>
        <w:tc>
          <w:tcPr>
            <w:tcW w:w="1212" w:type="dxa"/>
          </w:tcPr>
          <w:p w14:paraId="77C1F468" w14:textId="6BB0BDB3"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lastRenderedPageBreak/>
              <w:t>Autumn Term – HT2</w:t>
            </w:r>
          </w:p>
        </w:tc>
        <w:tc>
          <w:tcPr>
            <w:tcW w:w="1755" w:type="dxa"/>
          </w:tcPr>
          <w:p w14:paraId="766A66F2" w14:textId="77777777" w:rsidR="00C761A7" w:rsidRPr="00C761A7" w:rsidRDefault="00C761A7" w:rsidP="00C761A7">
            <w:pPr>
              <w:rPr>
                <w:rFonts w:ascii="Gadugi" w:hAnsi="Gadugi" w:cs="Arial"/>
                <w:color w:val="1F3864" w:themeColor="accent5" w:themeShade="80"/>
                <w:sz w:val="24"/>
                <w:szCs w:val="24"/>
              </w:rPr>
            </w:pPr>
            <w:r w:rsidRPr="00C761A7">
              <w:rPr>
                <w:rFonts w:ascii="Gadugi" w:hAnsi="Gadugi" w:cs="Arial"/>
                <w:color w:val="1F3864" w:themeColor="accent5" w:themeShade="80"/>
                <w:sz w:val="24"/>
                <w:szCs w:val="24"/>
              </w:rPr>
              <w:t>Energy dissipation, Energy and efficiency, Electrical Appliances, Energy and Power.</w:t>
            </w:r>
          </w:p>
          <w:p w14:paraId="66CA2C1F" w14:textId="77777777" w:rsidR="00C761A7" w:rsidRPr="00C761A7" w:rsidRDefault="00C761A7" w:rsidP="00C761A7">
            <w:pPr>
              <w:rPr>
                <w:rFonts w:ascii="Gadugi" w:hAnsi="Gadugi" w:cs="Arial"/>
                <w:b/>
                <w:color w:val="1F3864" w:themeColor="accent5" w:themeShade="80"/>
                <w:sz w:val="24"/>
                <w:szCs w:val="24"/>
              </w:rPr>
            </w:pPr>
          </w:p>
        </w:tc>
        <w:tc>
          <w:tcPr>
            <w:tcW w:w="3969" w:type="dxa"/>
          </w:tcPr>
          <w:p w14:paraId="750B824A" w14:textId="56B1FE19" w:rsidR="00C761A7" w:rsidRPr="00C761A7" w:rsidRDefault="002B6308" w:rsidP="00C761A7">
            <w:pPr>
              <w:rPr>
                <w:rFonts w:ascii="Gadugi" w:hAnsi="Gadugi" w:cs="Arial"/>
                <w:b/>
                <w:color w:val="1F3864" w:themeColor="accent5" w:themeShade="80"/>
                <w:sz w:val="24"/>
                <w:szCs w:val="24"/>
              </w:rPr>
            </w:pPr>
            <w:r>
              <w:rPr>
                <w:rFonts w:ascii="Gadugi" w:hAnsi="Gadugi" w:cs="Arial"/>
                <w:color w:val="06486F"/>
              </w:rPr>
              <w:t xml:space="preserve">Summative assessment in the form of the P1 ETT </w:t>
            </w:r>
            <w:r>
              <w:rPr>
                <w:rFonts w:ascii="Gadugi" w:hAnsi="Gadugi" w:cs="Arial"/>
                <w:color w:val="1F3864" w:themeColor="accent5" w:themeShade="80"/>
              </w:rPr>
              <w:t>GCSE style questions FT and HT.  Teacher marked, feedback though model answer mark scheme and follow up exam style questions on areas of weakness – personalised.</w:t>
            </w:r>
          </w:p>
        </w:tc>
        <w:tc>
          <w:tcPr>
            <w:tcW w:w="6095" w:type="dxa"/>
          </w:tcPr>
          <w:p w14:paraId="559259B3" w14:textId="45911101"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Building on concepts learnt, pupils start to look at the bigger picture of the conservation of energy and what happens after energy is used for a purpose. Looking at real life appliances we can calculate how much each one costs to run per year. </w:t>
            </w:r>
          </w:p>
        </w:tc>
        <w:tc>
          <w:tcPr>
            <w:tcW w:w="2684" w:type="dxa"/>
          </w:tcPr>
          <w:p w14:paraId="6946251C" w14:textId="77777777" w:rsidR="00C761A7" w:rsidRPr="00C761A7" w:rsidRDefault="00C761A7" w:rsidP="00C761A7">
            <w:pPr>
              <w:rPr>
                <w:rFonts w:ascii="Gadugi" w:hAnsi="Gadugi" w:cs="Arial"/>
                <w:color w:val="1F3864" w:themeColor="accent5" w:themeShade="80"/>
                <w:sz w:val="24"/>
                <w:szCs w:val="24"/>
              </w:rPr>
            </w:pPr>
            <w:r w:rsidRPr="00C761A7">
              <w:rPr>
                <w:rFonts w:ascii="Gadugi" w:hAnsi="Gadugi" w:cs="Arial"/>
                <w:color w:val="1F3864" w:themeColor="accent5" w:themeShade="80"/>
                <w:sz w:val="24"/>
                <w:szCs w:val="24"/>
              </w:rPr>
              <w:t xml:space="preserve">Voice 21 roles used as part of plenaries for lessons. </w:t>
            </w:r>
          </w:p>
          <w:p w14:paraId="6A881BF0" w14:textId="430A8388"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Instigate and challenge roles used after end of unit tests for students to gain insight into why other students have gained marks when they have dropped them. </w:t>
            </w:r>
          </w:p>
        </w:tc>
      </w:tr>
      <w:tr w:rsidR="00C761A7" w:rsidRPr="00344FC8" w14:paraId="25A1D0A1" w14:textId="77777777" w:rsidTr="000A3669">
        <w:trPr>
          <w:trHeight w:val="2829"/>
        </w:trPr>
        <w:tc>
          <w:tcPr>
            <w:tcW w:w="1212" w:type="dxa"/>
          </w:tcPr>
          <w:p w14:paraId="47DCE988" w14:textId="0564C284"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Spring Term – HT 3</w:t>
            </w:r>
          </w:p>
        </w:tc>
        <w:tc>
          <w:tcPr>
            <w:tcW w:w="1755" w:type="dxa"/>
          </w:tcPr>
          <w:p w14:paraId="00F7E2F2" w14:textId="0586E7B9"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P2 Energy Transfer by Heating: Conduction, SHC, Heating and insulating buildings.</w:t>
            </w:r>
          </w:p>
        </w:tc>
        <w:tc>
          <w:tcPr>
            <w:tcW w:w="3969" w:type="dxa"/>
          </w:tcPr>
          <w:p w14:paraId="707FA6DE" w14:textId="5D867EA9" w:rsidR="000A3669" w:rsidRPr="006C2F78" w:rsidRDefault="000A3669" w:rsidP="000A3669">
            <w:pPr>
              <w:rPr>
                <w:rFonts w:ascii="Gadugi" w:hAnsi="Gadugi" w:cs="Arial"/>
                <w:color w:val="1F3864" w:themeColor="accent5" w:themeShade="80"/>
                <w:sz w:val="24"/>
                <w:szCs w:val="24"/>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w:t>
            </w:r>
            <w:r>
              <w:rPr>
                <w:rFonts w:ascii="Gadugi" w:hAnsi="Gadugi" w:cs="Arial"/>
                <w:color w:val="06486F"/>
              </w:rPr>
              <w:t>P</w:t>
            </w:r>
            <w:r>
              <w:rPr>
                <w:rFonts w:ascii="Gadugi" w:hAnsi="Gadugi" w:cs="Arial"/>
                <w:color w:val="06486F"/>
              </w:rPr>
              <w:t xml:space="preserve">1 &amp; </w:t>
            </w:r>
            <w:r>
              <w:rPr>
                <w:rFonts w:ascii="Gadugi" w:hAnsi="Gadugi" w:cs="Arial"/>
                <w:color w:val="06486F"/>
              </w:rPr>
              <w:t>P</w:t>
            </w:r>
            <w:r>
              <w:rPr>
                <w:rFonts w:ascii="Gadugi" w:hAnsi="Gadugi" w:cs="Arial"/>
                <w:color w:val="06486F"/>
              </w:rPr>
              <w:t xml:space="preserve">2. </w:t>
            </w:r>
          </w:p>
          <w:p w14:paraId="6C31842A" w14:textId="77777777" w:rsidR="000A3669" w:rsidRDefault="000A3669" w:rsidP="000A3669">
            <w:pPr>
              <w:rPr>
                <w:rFonts w:ascii="Gadugi" w:hAnsi="Gadugi" w:cs="Arial"/>
                <w:color w:val="06486F"/>
              </w:rPr>
            </w:pPr>
          </w:p>
          <w:p w14:paraId="42A8204A" w14:textId="77777777" w:rsidR="000A3669" w:rsidRDefault="000A3669" w:rsidP="000A3669">
            <w:pPr>
              <w:rPr>
                <w:rFonts w:ascii="Gadugi" w:hAnsi="Gadugi" w:cs="Arial"/>
                <w:color w:val="06486F"/>
              </w:rPr>
            </w:pPr>
            <w:r>
              <w:rPr>
                <w:rFonts w:ascii="Gadugi" w:hAnsi="Gadugi" w:cs="Arial"/>
                <w:color w:val="06486F"/>
              </w:rPr>
              <w:t>KTTs used as low-stakes assessments through the topic to support learning.</w:t>
            </w:r>
          </w:p>
          <w:p w14:paraId="46EB996A" w14:textId="77777777" w:rsidR="000A3669" w:rsidRDefault="000A3669" w:rsidP="000A3669">
            <w:pPr>
              <w:rPr>
                <w:rFonts w:ascii="Gadugi" w:hAnsi="Gadugi" w:cs="Arial"/>
                <w:color w:val="06486F"/>
              </w:rPr>
            </w:pPr>
          </w:p>
          <w:p w14:paraId="57694BE0" w14:textId="77777777" w:rsidR="000A3669" w:rsidRDefault="000A3669" w:rsidP="000A3669">
            <w:pPr>
              <w:rPr>
                <w:rFonts w:ascii="Gadugi" w:hAnsi="Gadugi" w:cs="Arial"/>
                <w:color w:val="06486F"/>
              </w:rPr>
            </w:pPr>
            <w:r>
              <w:rPr>
                <w:rFonts w:ascii="Gadugi" w:hAnsi="Gadugi" w:cs="Arial"/>
                <w:color w:val="06486F"/>
              </w:rPr>
              <w:t xml:space="preserve">Topic specific extended writing task with individual written teacher feedback. </w:t>
            </w:r>
          </w:p>
          <w:p w14:paraId="7D90BE71" w14:textId="77777777" w:rsidR="000A3669" w:rsidRDefault="000A3669" w:rsidP="000A3669">
            <w:pPr>
              <w:rPr>
                <w:rFonts w:ascii="Gadugi" w:hAnsi="Gadugi" w:cs="Arial"/>
                <w:color w:val="06486F"/>
              </w:rPr>
            </w:pPr>
          </w:p>
          <w:p w14:paraId="40CA1DE7" w14:textId="685B300D" w:rsidR="00C761A7" w:rsidRPr="00C761A7" w:rsidRDefault="00C761A7" w:rsidP="000A3669">
            <w:pPr>
              <w:rPr>
                <w:rFonts w:ascii="Gadugi" w:hAnsi="Gadugi" w:cs="Arial"/>
                <w:b/>
                <w:color w:val="1F3864" w:themeColor="accent5" w:themeShade="80"/>
                <w:sz w:val="24"/>
                <w:szCs w:val="24"/>
              </w:rPr>
            </w:pPr>
          </w:p>
        </w:tc>
        <w:tc>
          <w:tcPr>
            <w:tcW w:w="6095" w:type="dxa"/>
          </w:tcPr>
          <w:p w14:paraId="24EA0568" w14:textId="3EB9C440"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Here we identify the three main ways which thermal energy can be transferred through all states of matter. An understanding of the particle model from KS3 is carried over here. Real life scenarios of how to insulate a building are covered and the way which we can calculate whether these steps to insulate the home are cost effective. </w:t>
            </w:r>
          </w:p>
        </w:tc>
        <w:tc>
          <w:tcPr>
            <w:tcW w:w="2684" w:type="dxa"/>
          </w:tcPr>
          <w:p w14:paraId="40DE2798" w14:textId="77777777" w:rsidR="00C761A7" w:rsidRPr="00C761A7" w:rsidRDefault="00C761A7" w:rsidP="00C761A7">
            <w:pPr>
              <w:rPr>
                <w:rFonts w:ascii="Gadugi" w:hAnsi="Gadugi" w:cs="Arial"/>
                <w:b/>
                <w:color w:val="1F3864" w:themeColor="accent5" w:themeShade="80"/>
                <w:sz w:val="24"/>
                <w:szCs w:val="24"/>
              </w:rPr>
            </w:pPr>
          </w:p>
        </w:tc>
      </w:tr>
      <w:tr w:rsidR="00C761A7" w:rsidRPr="00344FC8" w14:paraId="1D79D53E" w14:textId="77777777" w:rsidTr="00C761A7">
        <w:trPr>
          <w:trHeight w:val="2957"/>
        </w:trPr>
        <w:tc>
          <w:tcPr>
            <w:tcW w:w="1212" w:type="dxa"/>
          </w:tcPr>
          <w:p w14:paraId="10C9021A" w14:textId="77AAA1A4"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Spring Term – HT 4</w:t>
            </w:r>
          </w:p>
        </w:tc>
        <w:tc>
          <w:tcPr>
            <w:tcW w:w="1755" w:type="dxa"/>
          </w:tcPr>
          <w:p w14:paraId="0A6252ED" w14:textId="6807FAF9"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SHC Required Practical</w:t>
            </w:r>
          </w:p>
        </w:tc>
        <w:tc>
          <w:tcPr>
            <w:tcW w:w="3969" w:type="dxa"/>
          </w:tcPr>
          <w:p w14:paraId="7913F967" w14:textId="7F8ADC46" w:rsidR="00C761A7" w:rsidRPr="00C761A7" w:rsidRDefault="000A3669" w:rsidP="00C761A7">
            <w:pPr>
              <w:rPr>
                <w:rFonts w:ascii="Gadugi" w:hAnsi="Gadugi" w:cs="Arial"/>
                <w:b/>
                <w:color w:val="1F3864" w:themeColor="accent5" w:themeShade="80"/>
                <w:sz w:val="24"/>
                <w:szCs w:val="24"/>
              </w:rPr>
            </w:pPr>
            <w:r>
              <w:rPr>
                <w:rFonts w:ascii="Gadugi" w:hAnsi="Gadugi" w:cs="Arial"/>
                <w:color w:val="06486F"/>
              </w:rPr>
              <w:t xml:space="preserve">Summative assessment in the form of the P2 ETT </w:t>
            </w:r>
            <w:r w:rsidRPr="00903398">
              <w:rPr>
                <w:rFonts w:ascii="Gadugi" w:hAnsi="Gadugi" w:cs="Arial"/>
                <w:color w:val="1F3864" w:themeColor="accent5" w:themeShade="80"/>
              </w:rPr>
              <w:t>GCSE style questions FT and HT.</w:t>
            </w:r>
            <w:r>
              <w:rPr>
                <w:rFonts w:ascii="Gadugi" w:hAnsi="Gadugi" w:cs="Arial"/>
                <w:color w:val="1F3864" w:themeColor="accent5" w:themeShade="80"/>
              </w:rPr>
              <w:t xml:space="preserve">  </w:t>
            </w:r>
            <w:r w:rsidRPr="00903398">
              <w:rPr>
                <w:rFonts w:ascii="Gadugi" w:hAnsi="Gadugi" w:cs="Arial"/>
                <w:color w:val="1F3864" w:themeColor="accent5" w:themeShade="80"/>
              </w:rPr>
              <w:t>Teacher marked, feedback though model answer mark scheme and follow up exam style questions on areas of weakness – personalised.</w:t>
            </w:r>
          </w:p>
        </w:tc>
        <w:tc>
          <w:tcPr>
            <w:tcW w:w="6095" w:type="dxa"/>
          </w:tcPr>
          <w:p w14:paraId="0E53E42D" w14:textId="208AA481"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This practical incorporates a whole host of working scientifically skills due to its complexity. Students must have a basic understanding of circuits from KS3 to be able to set up the apparatus correctly to collect valid data. Use of equations and good rearrangement skills are embedded here. Students must assess the validity of the method itself and see if they could improve it in anyway.  </w:t>
            </w:r>
          </w:p>
        </w:tc>
        <w:tc>
          <w:tcPr>
            <w:tcW w:w="2684" w:type="dxa"/>
          </w:tcPr>
          <w:p w14:paraId="43653A49" w14:textId="01D5A99B"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Comparison of answers of ranging mark values. Students given mark scheme and mark each answer. After this, students write their own perfect model answers. </w:t>
            </w:r>
          </w:p>
        </w:tc>
      </w:tr>
      <w:tr w:rsidR="00C761A7" w:rsidRPr="00344FC8" w14:paraId="5E1DBCB0" w14:textId="77777777" w:rsidTr="00C761A7">
        <w:trPr>
          <w:trHeight w:val="2125"/>
        </w:trPr>
        <w:tc>
          <w:tcPr>
            <w:tcW w:w="1212" w:type="dxa"/>
          </w:tcPr>
          <w:p w14:paraId="51301125" w14:textId="7CD85062"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lastRenderedPageBreak/>
              <w:t>Summer Term – HT 5</w:t>
            </w:r>
          </w:p>
        </w:tc>
        <w:tc>
          <w:tcPr>
            <w:tcW w:w="1755" w:type="dxa"/>
          </w:tcPr>
          <w:p w14:paraId="3C0EA709" w14:textId="1190BED6"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P3 Energy Resources: Energy demands, Wind and water, </w:t>
            </w:r>
          </w:p>
        </w:tc>
        <w:tc>
          <w:tcPr>
            <w:tcW w:w="3969" w:type="dxa"/>
          </w:tcPr>
          <w:p w14:paraId="2A24B6B2" w14:textId="11A9FB49" w:rsidR="000A3669" w:rsidRPr="006C2F78" w:rsidRDefault="000A3669" w:rsidP="000A3669">
            <w:pPr>
              <w:rPr>
                <w:rFonts w:ascii="Gadugi" w:hAnsi="Gadugi" w:cs="Arial"/>
                <w:color w:val="1F3864" w:themeColor="accent5" w:themeShade="80"/>
                <w:sz w:val="24"/>
                <w:szCs w:val="24"/>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P1</w:t>
            </w:r>
            <w:r>
              <w:rPr>
                <w:rFonts w:ascii="Gadugi" w:hAnsi="Gadugi" w:cs="Arial"/>
                <w:color w:val="06486F"/>
              </w:rPr>
              <w:t>,</w:t>
            </w:r>
            <w:r>
              <w:rPr>
                <w:rFonts w:ascii="Gadugi" w:hAnsi="Gadugi" w:cs="Arial"/>
                <w:color w:val="06486F"/>
              </w:rPr>
              <w:t xml:space="preserve"> P2</w:t>
            </w:r>
            <w:r>
              <w:rPr>
                <w:rFonts w:ascii="Gadugi" w:hAnsi="Gadugi" w:cs="Arial"/>
                <w:color w:val="06486F"/>
              </w:rPr>
              <w:t xml:space="preserve"> &amp; P3</w:t>
            </w:r>
            <w:r>
              <w:rPr>
                <w:rFonts w:ascii="Gadugi" w:hAnsi="Gadugi" w:cs="Arial"/>
                <w:color w:val="06486F"/>
              </w:rPr>
              <w:t xml:space="preserve">. </w:t>
            </w:r>
          </w:p>
          <w:p w14:paraId="5D818914" w14:textId="77777777" w:rsidR="000A3669" w:rsidRDefault="000A3669" w:rsidP="000A3669">
            <w:pPr>
              <w:rPr>
                <w:rFonts w:ascii="Gadugi" w:hAnsi="Gadugi" w:cs="Arial"/>
                <w:color w:val="06486F"/>
              </w:rPr>
            </w:pPr>
          </w:p>
          <w:p w14:paraId="4D74A9DE" w14:textId="77777777" w:rsidR="000A3669" w:rsidRDefault="000A3669" w:rsidP="000A3669">
            <w:pPr>
              <w:rPr>
                <w:rFonts w:ascii="Gadugi" w:hAnsi="Gadugi" w:cs="Arial"/>
                <w:color w:val="06486F"/>
              </w:rPr>
            </w:pPr>
            <w:r>
              <w:rPr>
                <w:rFonts w:ascii="Gadugi" w:hAnsi="Gadugi" w:cs="Arial"/>
                <w:color w:val="06486F"/>
              </w:rPr>
              <w:t>KTTs used as low-stakes assessments through the topic to support learning.</w:t>
            </w:r>
          </w:p>
          <w:p w14:paraId="0FA58F2E" w14:textId="77777777" w:rsidR="000A3669" w:rsidRDefault="000A3669" w:rsidP="000A3669">
            <w:pPr>
              <w:rPr>
                <w:rFonts w:ascii="Gadugi" w:hAnsi="Gadugi" w:cs="Arial"/>
                <w:color w:val="06486F"/>
              </w:rPr>
            </w:pPr>
          </w:p>
          <w:p w14:paraId="5D728FE8" w14:textId="77777777" w:rsidR="000A3669" w:rsidRDefault="000A3669" w:rsidP="000A3669">
            <w:pPr>
              <w:rPr>
                <w:rFonts w:ascii="Gadugi" w:hAnsi="Gadugi" w:cs="Arial"/>
                <w:color w:val="06486F"/>
              </w:rPr>
            </w:pPr>
            <w:r>
              <w:rPr>
                <w:rFonts w:ascii="Gadugi" w:hAnsi="Gadugi" w:cs="Arial"/>
                <w:color w:val="06486F"/>
              </w:rPr>
              <w:t xml:space="preserve">Topic specific extended writing task with individual written teacher feedback. </w:t>
            </w:r>
          </w:p>
          <w:p w14:paraId="192AE202" w14:textId="77777777" w:rsidR="00C761A7" w:rsidRPr="00C761A7" w:rsidRDefault="00C761A7" w:rsidP="00C761A7">
            <w:pPr>
              <w:rPr>
                <w:rFonts w:ascii="Gadugi" w:hAnsi="Gadugi" w:cs="Arial"/>
                <w:b/>
                <w:color w:val="1F3864" w:themeColor="accent5" w:themeShade="80"/>
                <w:sz w:val="24"/>
                <w:szCs w:val="24"/>
              </w:rPr>
            </w:pPr>
          </w:p>
        </w:tc>
        <w:tc>
          <w:tcPr>
            <w:tcW w:w="6095" w:type="dxa"/>
          </w:tcPr>
          <w:p w14:paraId="1D2D231F" w14:textId="08AA3335"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In this unit we establish differences between renewable and non-renewable energy resources and give multiple examples of each. As well as this we discuss the benefits and drawbacks of them with regards to the impact on our environment, economy and local area.</w:t>
            </w:r>
          </w:p>
        </w:tc>
        <w:tc>
          <w:tcPr>
            <w:tcW w:w="2684" w:type="dxa"/>
          </w:tcPr>
          <w:p w14:paraId="67A91F2C" w14:textId="047B3E51"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Wind turbine health effects literature review – comprehension of literature review included. </w:t>
            </w:r>
          </w:p>
        </w:tc>
      </w:tr>
      <w:tr w:rsidR="00C761A7" w:rsidRPr="00344FC8" w14:paraId="28AAAD5A" w14:textId="77777777" w:rsidTr="00C761A7">
        <w:trPr>
          <w:trHeight w:val="744"/>
        </w:trPr>
        <w:tc>
          <w:tcPr>
            <w:tcW w:w="1212" w:type="dxa"/>
            <w:tcBorders>
              <w:bottom w:val="single" w:sz="4" w:space="0" w:color="1F3864" w:themeColor="accent5" w:themeShade="80"/>
            </w:tcBorders>
          </w:tcPr>
          <w:p w14:paraId="7F59880A" w14:textId="07125689"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Summer Term – HT 6</w:t>
            </w:r>
          </w:p>
        </w:tc>
        <w:tc>
          <w:tcPr>
            <w:tcW w:w="1755" w:type="dxa"/>
            <w:tcBorders>
              <w:bottom w:val="single" w:sz="4" w:space="0" w:color="1F3864" w:themeColor="accent5" w:themeShade="80"/>
            </w:tcBorders>
          </w:tcPr>
          <w:p w14:paraId="28C4E7FD" w14:textId="658E8695"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Power from the Sun and Earth, Energy and the environment, Big energy issues.</w:t>
            </w:r>
          </w:p>
        </w:tc>
        <w:tc>
          <w:tcPr>
            <w:tcW w:w="3969" w:type="dxa"/>
            <w:tcBorders>
              <w:bottom w:val="single" w:sz="4" w:space="0" w:color="1F3864" w:themeColor="accent5" w:themeShade="80"/>
            </w:tcBorders>
          </w:tcPr>
          <w:p w14:paraId="25048E3B" w14:textId="68147F1D" w:rsidR="00C761A7" w:rsidRPr="00C761A7" w:rsidRDefault="000A3669" w:rsidP="00C761A7">
            <w:pPr>
              <w:rPr>
                <w:rFonts w:ascii="Gadugi" w:hAnsi="Gadugi" w:cs="Arial"/>
                <w:b/>
                <w:color w:val="1F3864" w:themeColor="accent5" w:themeShade="80"/>
                <w:sz w:val="24"/>
                <w:szCs w:val="24"/>
              </w:rPr>
            </w:pPr>
            <w:r>
              <w:rPr>
                <w:rFonts w:ascii="Gadugi" w:hAnsi="Gadugi" w:cs="Arial"/>
                <w:color w:val="06486F"/>
              </w:rPr>
              <w:t>Summative assessment in the form of the P</w:t>
            </w:r>
            <w:r>
              <w:rPr>
                <w:rFonts w:ascii="Gadugi" w:hAnsi="Gadugi" w:cs="Arial"/>
                <w:color w:val="06486F"/>
              </w:rPr>
              <w:t>3</w:t>
            </w:r>
            <w:r>
              <w:rPr>
                <w:rFonts w:ascii="Gadugi" w:hAnsi="Gadugi" w:cs="Arial"/>
                <w:color w:val="06486F"/>
              </w:rPr>
              <w:t xml:space="preserve"> ETT </w:t>
            </w:r>
            <w:r w:rsidRPr="00903398">
              <w:rPr>
                <w:rFonts w:ascii="Gadugi" w:hAnsi="Gadugi" w:cs="Arial"/>
                <w:color w:val="1F3864" w:themeColor="accent5" w:themeShade="80"/>
              </w:rPr>
              <w:t>GCSE style questions FT and HT.</w:t>
            </w:r>
            <w:r>
              <w:rPr>
                <w:rFonts w:ascii="Gadugi" w:hAnsi="Gadugi" w:cs="Arial"/>
                <w:color w:val="1F3864" w:themeColor="accent5" w:themeShade="80"/>
              </w:rPr>
              <w:t xml:space="preserve">  </w:t>
            </w:r>
            <w:r w:rsidRPr="00903398">
              <w:rPr>
                <w:rFonts w:ascii="Gadugi" w:hAnsi="Gadugi" w:cs="Arial"/>
                <w:color w:val="1F3864" w:themeColor="accent5" w:themeShade="80"/>
              </w:rPr>
              <w:t>Teacher marked, feedback though model answer mark scheme and follow up exam style questions on areas of weakness – personalised.</w:t>
            </w:r>
          </w:p>
        </w:tc>
        <w:tc>
          <w:tcPr>
            <w:tcW w:w="6095" w:type="dxa"/>
            <w:tcBorders>
              <w:bottom w:val="single" w:sz="4" w:space="0" w:color="1F3864" w:themeColor="accent5" w:themeShade="80"/>
            </w:tcBorders>
          </w:tcPr>
          <w:p w14:paraId="3AD1458D" w14:textId="4EAB95EC" w:rsidR="00C761A7" w:rsidRPr="00C761A7" w:rsidRDefault="00C761A7" w:rsidP="00C761A7">
            <w:pPr>
              <w:rPr>
                <w:rFonts w:ascii="Gadugi" w:hAnsi="Gadugi" w:cs="Arial"/>
                <w:b/>
                <w:color w:val="1F3864" w:themeColor="accent5" w:themeShade="80"/>
                <w:sz w:val="24"/>
                <w:szCs w:val="24"/>
              </w:rPr>
            </w:pPr>
            <w:r w:rsidRPr="00C761A7">
              <w:rPr>
                <w:rFonts w:ascii="Gadugi" w:hAnsi="Gadugi" w:cs="Arial"/>
                <w:color w:val="1F3864" w:themeColor="accent5" w:themeShade="80"/>
                <w:sz w:val="24"/>
                <w:szCs w:val="24"/>
              </w:rPr>
              <w:t xml:space="preserve">Here we look at particular applications of renewable energy resources and how viable they are for particular locations and communities. </w:t>
            </w:r>
          </w:p>
        </w:tc>
        <w:tc>
          <w:tcPr>
            <w:tcW w:w="2684" w:type="dxa"/>
            <w:tcBorders>
              <w:bottom w:val="single" w:sz="4" w:space="0" w:color="1F3864" w:themeColor="accent5" w:themeShade="80"/>
            </w:tcBorders>
          </w:tcPr>
          <w:p w14:paraId="0965FD14" w14:textId="77777777" w:rsidR="00C761A7" w:rsidRPr="00C761A7" w:rsidRDefault="00C761A7" w:rsidP="00C761A7">
            <w:pPr>
              <w:rPr>
                <w:rFonts w:ascii="Gadugi" w:hAnsi="Gadugi" w:cs="Arial"/>
                <w:b/>
                <w:color w:val="1F3864" w:themeColor="accent5" w:themeShade="80"/>
                <w:sz w:val="24"/>
                <w:szCs w:val="24"/>
              </w:rPr>
            </w:pPr>
          </w:p>
        </w:tc>
      </w:tr>
    </w:tbl>
    <w:p w14:paraId="620048CE" w14:textId="63636A18" w:rsidR="00AC056B" w:rsidRPr="006C2F78" w:rsidRDefault="00AC056B" w:rsidP="008409BB">
      <w:pPr>
        <w:spacing w:line="276" w:lineRule="auto"/>
        <w:rPr>
          <w:rFonts w:ascii="Gadugi" w:hAnsi="Gadugi" w:cstheme="majorHAnsi"/>
          <w:b/>
          <w:color w:val="1F3864" w:themeColor="accent5" w:themeShade="80"/>
          <w:sz w:val="2"/>
          <w:szCs w:val="2"/>
        </w:rPr>
      </w:pPr>
    </w:p>
    <w:sectPr w:rsidR="00AC056B" w:rsidRPr="006C2F78" w:rsidSect="000E51B3">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FE6E0" w14:textId="77777777" w:rsidR="00606375" w:rsidRDefault="00606375" w:rsidP="00A2239D">
      <w:pPr>
        <w:spacing w:after="0" w:line="240" w:lineRule="auto"/>
      </w:pPr>
      <w:r>
        <w:separator/>
      </w:r>
    </w:p>
  </w:endnote>
  <w:endnote w:type="continuationSeparator" w:id="0">
    <w:p w14:paraId="67FD233A" w14:textId="77777777" w:rsidR="00606375" w:rsidRDefault="00606375"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A81CF" w14:textId="77777777" w:rsidR="00606375" w:rsidRDefault="00606375" w:rsidP="00A2239D">
      <w:pPr>
        <w:spacing w:after="0" w:line="240" w:lineRule="auto"/>
      </w:pPr>
      <w:r>
        <w:separator/>
      </w:r>
    </w:p>
  </w:footnote>
  <w:footnote w:type="continuationSeparator" w:id="0">
    <w:p w14:paraId="782953BB" w14:textId="77777777" w:rsidR="00606375" w:rsidRDefault="00606375"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C80"/>
    <w:multiLevelType w:val="hybridMultilevel"/>
    <w:tmpl w:val="796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19"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835735"/>
    <w:multiLevelType w:val="hybridMultilevel"/>
    <w:tmpl w:val="9800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CD56E3"/>
    <w:multiLevelType w:val="hybridMultilevel"/>
    <w:tmpl w:val="E5A69DAC"/>
    <w:lvl w:ilvl="0" w:tplc="F9B895E6">
      <w:numFmt w:val="bullet"/>
      <w:lvlText w:val="•"/>
      <w:lvlJc w:val="left"/>
      <w:pPr>
        <w:ind w:left="1080" w:hanging="720"/>
      </w:pPr>
      <w:rPr>
        <w:rFonts w:ascii="Gadugi" w:eastAsiaTheme="minorHAnsi" w:hAnsi="Gadug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5"/>
  </w:num>
  <w:num w:numId="4">
    <w:abstractNumId w:val="38"/>
  </w:num>
  <w:num w:numId="5">
    <w:abstractNumId w:val="17"/>
  </w:num>
  <w:num w:numId="6">
    <w:abstractNumId w:val="39"/>
  </w:num>
  <w:num w:numId="7">
    <w:abstractNumId w:val="36"/>
  </w:num>
  <w:num w:numId="8">
    <w:abstractNumId w:val="45"/>
  </w:num>
  <w:num w:numId="9">
    <w:abstractNumId w:val="15"/>
  </w:num>
  <w:num w:numId="10">
    <w:abstractNumId w:val="29"/>
  </w:num>
  <w:num w:numId="11">
    <w:abstractNumId w:val="31"/>
  </w:num>
  <w:num w:numId="12">
    <w:abstractNumId w:val="26"/>
  </w:num>
  <w:num w:numId="13">
    <w:abstractNumId w:val="11"/>
  </w:num>
  <w:num w:numId="14">
    <w:abstractNumId w:val="41"/>
  </w:num>
  <w:num w:numId="15">
    <w:abstractNumId w:val="14"/>
  </w:num>
  <w:num w:numId="16">
    <w:abstractNumId w:val="27"/>
  </w:num>
  <w:num w:numId="17">
    <w:abstractNumId w:val="5"/>
  </w:num>
  <w:num w:numId="18">
    <w:abstractNumId w:val="34"/>
  </w:num>
  <w:num w:numId="19">
    <w:abstractNumId w:val="32"/>
  </w:num>
  <w:num w:numId="20">
    <w:abstractNumId w:val="4"/>
  </w:num>
  <w:num w:numId="21">
    <w:abstractNumId w:val="37"/>
  </w:num>
  <w:num w:numId="22">
    <w:abstractNumId w:val="24"/>
  </w:num>
  <w:num w:numId="23">
    <w:abstractNumId w:val="1"/>
  </w:num>
  <w:num w:numId="24">
    <w:abstractNumId w:val="2"/>
  </w:num>
  <w:num w:numId="25">
    <w:abstractNumId w:val="6"/>
  </w:num>
  <w:num w:numId="26">
    <w:abstractNumId w:val="7"/>
  </w:num>
  <w:num w:numId="27">
    <w:abstractNumId w:val="23"/>
  </w:num>
  <w:num w:numId="28">
    <w:abstractNumId w:val="28"/>
  </w:num>
  <w:num w:numId="29">
    <w:abstractNumId w:val="40"/>
  </w:num>
  <w:num w:numId="30">
    <w:abstractNumId w:val="9"/>
  </w:num>
  <w:num w:numId="31">
    <w:abstractNumId w:val="8"/>
  </w:num>
  <w:num w:numId="32">
    <w:abstractNumId w:val="20"/>
  </w:num>
  <w:num w:numId="33">
    <w:abstractNumId w:val="42"/>
  </w:num>
  <w:num w:numId="34">
    <w:abstractNumId w:val="21"/>
  </w:num>
  <w:num w:numId="35">
    <w:abstractNumId w:val="3"/>
  </w:num>
  <w:num w:numId="36">
    <w:abstractNumId w:val="22"/>
  </w:num>
  <w:num w:numId="37">
    <w:abstractNumId w:val="16"/>
  </w:num>
  <w:num w:numId="38">
    <w:abstractNumId w:val="46"/>
  </w:num>
  <w:num w:numId="39">
    <w:abstractNumId w:val="13"/>
  </w:num>
  <w:num w:numId="40">
    <w:abstractNumId w:val="25"/>
  </w:num>
  <w:num w:numId="41">
    <w:abstractNumId w:val="19"/>
  </w:num>
  <w:num w:numId="42">
    <w:abstractNumId w:val="33"/>
  </w:num>
  <w:num w:numId="43">
    <w:abstractNumId w:val="43"/>
  </w:num>
  <w:num w:numId="44">
    <w:abstractNumId w:val="30"/>
  </w:num>
  <w:num w:numId="45">
    <w:abstractNumId w:val="0"/>
  </w:num>
  <w:num w:numId="46">
    <w:abstractNumId w:val="4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6330B"/>
    <w:rsid w:val="00092180"/>
    <w:rsid w:val="000A285E"/>
    <w:rsid w:val="000A3669"/>
    <w:rsid w:val="000B0B64"/>
    <w:rsid w:val="000B60FD"/>
    <w:rsid w:val="000D3E6D"/>
    <w:rsid w:val="000E00D4"/>
    <w:rsid w:val="000E09D4"/>
    <w:rsid w:val="000E51B3"/>
    <w:rsid w:val="000F19C3"/>
    <w:rsid w:val="000F6979"/>
    <w:rsid w:val="00110668"/>
    <w:rsid w:val="0012331A"/>
    <w:rsid w:val="00146AA9"/>
    <w:rsid w:val="00146B87"/>
    <w:rsid w:val="00147B3E"/>
    <w:rsid w:val="00174A2E"/>
    <w:rsid w:val="001A6CCA"/>
    <w:rsid w:val="001C2664"/>
    <w:rsid w:val="001E4F8D"/>
    <w:rsid w:val="001F00D2"/>
    <w:rsid w:val="001F1F0C"/>
    <w:rsid w:val="002335D5"/>
    <w:rsid w:val="002364A2"/>
    <w:rsid w:val="0024473E"/>
    <w:rsid w:val="002546B1"/>
    <w:rsid w:val="00264601"/>
    <w:rsid w:val="00267249"/>
    <w:rsid w:val="00274194"/>
    <w:rsid w:val="002B6308"/>
    <w:rsid w:val="00300FBD"/>
    <w:rsid w:val="00344FC8"/>
    <w:rsid w:val="0035158F"/>
    <w:rsid w:val="00366E0F"/>
    <w:rsid w:val="0037283A"/>
    <w:rsid w:val="003813FE"/>
    <w:rsid w:val="0038624B"/>
    <w:rsid w:val="003A6942"/>
    <w:rsid w:val="003D0A50"/>
    <w:rsid w:val="003D536E"/>
    <w:rsid w:val="003E21F0"/>
    <w:rsid w:val="00440C15"/>
    <w:rsid w:val="00454F4C"/>
    <w:rsid w:val="00491925"/>
    <w:rsid w:val="004A2B06"/>
    <w:rsid w:val="004C0806"/>
    <w:rsid w:val="004C21E6"/>
    <w:rsid w:val="004D70D0"/>
    <w:rsid w:val="004E41B6"/>
    <w:rsid w:val="004F0F4E"/>
    <w:rsid w:val="00582A3A"/>
    <w:rsid w:val="00592652"/>
    <w:rsid w:val="00594027"/>
    <w:rsid w:val="005B4500"/>
    <w:rsid w:val="005F4B6A"/>
    <w:rsid w:val="00603973"/>
    <w:rsid w:val="00606375"/>
    <w:rsid w:val="0065368B"/>
    <w:rsid w:val="0066650C"/>
    <w:rsid w:val="006A3BBD"/>
    <w:rsid w:val="006A5BDA"/>
    <w:rsid w:val="006B08D8"/>
    <w:rsid w:val="006B472C"/>
    <w:rsid w:val="006C11A7"/>
    <w:rsid w:val="006C2F78"/>
    <w:rsid w:val="006D71DA"/>
    <w:rsid w:val="006D77ED"/>
    <w:rsid w:val="006F6894"/>
    <w:rsid w:val="007003D0"/>
    <w:rsid w:val="00761EB0"/>
    <w:rsid w:val="00774515"/>
    <w:rsid w:val="007772C2"/>
    <w:rsid w:val="0078152C"/>
    <w:rsid w:val="00790383"/>
    <w:rsid w:val="007A59CF"/>
    <w:rsid w:val="007B5409"/>
    <w:rsid w:val="007D6C68"/>
    <w:rsid w:val="007F1A1F"/>
    <w:rsid w:val="00804727"/>
    <w:rsid w:val="00811F90"/>
    <w:rsid w:val="00814AA1"/>
    <w:rsid w:val="00823C4B"/>
    <w:rsid w:val="008325F6"/>
    <w:rsid w:val="0083429E"/>
    <w:rsid w:val="0083695F"/>
    <w:rsid w:val="008406A0"/>
    <w:rsid w:val="008409BB"/>
    <w:rsid w:val="0085456E"/>
    <w:rsid w:val="0085624D"/>
    <w:rsid w:val="008604D1"/>
    <w:rsid w:val="00871500"/>
    <w:rsid w:val="00872A0E"/>
    <w:rsid w:val="008D2021"/>
    <w:rsid w:val="008F07B2"/>
    <w:rsid w:val="00903398"/>
    <w:rsid w:val="009316F7"/>
    <w:rsid w:val="00934464"/>
    <w:rsid w:val="00936580"/>
    <w:rsid w:val="009543C0"/>
    <w:rsid w:val="0095781B"/>
    <w:rsid w:val="00964BBE"/>
    <w:rsid w:val="009742D2"/>
    <w:rsid w:val="00984DB7"/>
    <w:rsid w:val="009C615C"/>
    <w:rsid w:val="009E2FED"/>
    <w:rsid w:val="00A2239D"/>
    <w:rsid w:val="00A2784D"/>
    <w:rsid w:val="00AB601B"/>
    <w:rsid w:val="00AC056B"/>
    <w:rsid w:val="00AD0018"/>
    <w:rsid w:val="00AE33C0"/>
    <w:rsid w:val="00AE4628"/>
    <w:rsid w:val="00B0340B"/>
    <w:rsid w:val="00B166A6"/>
    <w:rsid w:val="00B31D40"/>
    <w:rsid w:val="00B62A71"/>
    <w:rsid w:val="00B62AF8"/>
    <w:rsid w:val="00BB1BEE"/>
    <w:rsid w:val="00BC04B5"/>
    <w:rsid w:val="00BD4E7D"/>
    <w:rsid w:val="00BF583B"/>
    <w:rsid w:val="00C006F8"/>
    <w:rsid w:val="00C24068"/>
    <w:rsid w:val="00C761A7"/>
    <w:rsid w:val="00C86706"/>
    <w:rsid w:val="00CB5E3E"/>
    <w:rsid w:val="00CC077A"/>
    <w:rsid w:val="00CC3D41"/>
    <w:rsid w:val="00CD02FA"/>
    <w:rsid w:val="00CD2200"/>
    <w:rsid w:val="00CE5254"/>
    <w:rsid w:val="00CE5633"/>
    <w:rsid w:val="00D16D06"/>
    <w:rsid w:val="00D33B94"/>
    <w:rsid w:val="00D57080"/>
    <w:rsid w:val="00D626B0"/>
    <w:rsid w:val="00D66184"/>
    <w:rsid w:val="00D871D1"/>
    <w:rsid w:val="00DA50C9"/>
    <w:rsid w:val="00DE6A97"/>
    <w:rsid w:val="00DF2D80"/>
    <w:rsid w:val="00E07B5A"/>
    <w:rsid w:val="00E22AB6"/>
    <w:rsid w:val="00E267B0"/>
    <w:rsid w:val="00E33E52"/>
    <w:rsid w:val="00E4151F"/>
    <w:rsid w:val="00E41B83"/>
    <w:rsid w:val="00E45332"/>
    <w:rsid w:val="00E4690A"/>
    <w:rsid w:val="00E83325"/>
    <w:rsid w:val="00E83A73"/>
    <w:rsid w:val="00E84B07"/>
    <w:rsid w:val="00E9009F"/>
    <w:rsid w:val="00EB11D6"/>
    <w:rsid w:val="00EB284A"/>
    <w:rsid w:val="00EB62ED"/>
    <w:rsid w:val="00EC7F62"/>
    <w:rsid w:val="00ED7C7B"/>
    <w:rsid w:val="00EE3DF3"/>
    <w:rsid w:val="00EE58DF"/>
    <w:rsid w:val="00F23277"/>
    <w:rsid w:val="00F336E7"/>
    <w:rsid w:val="00F37C1C"/>
    <w:rsid w:val="00F42505"/>
    <w:rsid w:val="00F45422"/>
    <w:rsid w:val="00F63643"/>
    <w:rsid w:val="00F85A83"/>
    <w:rsid w:val="00FB2329"/>
    <w:rsid w:val="00FB6D2C"/>
    <w:rsid w:val="00FD6F97"/>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295963">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8B9E8-2BBE-44B4-B903-555E2FBE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46</cp:revision>
  <cp:lastPrinted>2022-12-06T07:20:00Z</cp:lastPrinted>
  <dcterms:created xsi:type="dcterms:W3CDTF">2024-08-02T08:58:00Z</dcterms:created>
  <dcterms:modified xsi:type="dcterms:W3CDTF">2026-09-04T14:15:00Z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