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695B51AD"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EB151C">
        <w:rPr>
          <w:rFonts w:ascii="Gadugi" w:hAnsi="Gadugi" w:cs="Arial"/>
          <w:b/>
          <w:color w:val="06486F"/>
          <w:sz w:val="32"/>
          <w:szCs w:val="32"/>
        </w:rPr>
        <w:t>Religious Studies</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2D788A">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 xml:space="preserve">Long-Term Plan </w:t>
      </w:r>
      <w:r w:rsidR="00B24FCC">
        <w:rPr>
          <w:rFonts w:ascii="Gadugi" w:hAnsi="Gadugi" w:cs="Arial"/>
          <w:b/>
          <w:color w:val="06486F"/>
          <w:sz w:val="32"/>
          <w:szCs w:val="32"/>
        </w:rPr>
        <w:t>2026027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972"/>
        <w:gridCol w:w="3402"/>
        <w:gridCol w:w="4394"/>
        <w:gridCol w:w="3767"/>
      </w:tblGrid>
      <w:tr w:rsidR="00344FC8" w:rsidRPr="00344FC8" w14:paraId="3FBD6533" w14:textId="7D22EC26" w:rsidTr="00074855">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972"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402"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394"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767"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2A773F" w:rsidRPr="00C37102" w14:paraId="45807614" w14:textId="77777777" w:rsidTr="003A1F86">
        <w:trPr>
          <w:trHeight w:val="3082"/>
        </w:trPr>
        <w:tc>
          <w:tcPr>
            <w:tcW w:w="1271" w:type="dxa"/>
          </w:tcPr>
          <w:p w14:paraId="152B23F7" w14:textId="31C11B7A" w:rsidR="002A773F" w:rsidRPr="002A773F" w:rsidRDefault="002A773F" w:rsidP="002A773F">
            <w:pPr>
              <w:jc w:val="center"/>
              <w:rPr>
                <w:rFonts w:ascii="Gadugi" w:hAnsi="Gadugi" w:cs="Arial"/>
                <w:b/>
                <w:bCs/>
                <w:color w:val="1F3864" w:themeColor="accent5" w:themeShade="80"/>
                <w:sz w:val="24"/>
                <w:szCs w:val="24"/>
              </w:rPr>
            </w:pPr>
            <w:r w:rsidRPr="002A773F">
              <w:rPr>
                <w:rFonts w:ascii="Gadugi" w:hAnsi="Gadugi" w:cs="Arial"/>
                <w:color w:val="1F3864" w:themeColor="accent5" w:themeShade="80"/>
                <w:sz w:val="24"/>
                <w:szCs w:val="24"/>
              </w:rPr>
              <w:t xml:space="preserve">Autumn Term </w:t>
            </w:r>
            <w:r>
              <w:rPr>
                <w:rFonts w:ascii="Gadugi" w:hAnsi="Gadugi" w:cs="Arial"/>
                <w:color w:val="1F3864" w:themeColor="accent5" w:themeShade="80"/>
                <w:sz w:val="24"/>
                <w:szCs w:val="24"/>
              </w:rPr>
              <w:t>– Half Term 1 and 2</w:t>
            </w:r>
          </w:p>
        </w:tc>
        <w:tc>
          <w:tcPr>
            <w:tcW w:w="2972" w:type="dxa"/>
            <w:tcBorders>
              <w:top w:val="single" w:sz="4" w:space="0" w:color="auto"/>
              <w:left w:val="single" w:sz="4" w:space="0" w:color="auto"/>
              <w:bottom w:val="single" w:sz="4" w:space="0" w:color="auto"/>
              <w:right w:val="single" w:sz="4" w:space="0" w:color="auto"/>
            </w:tcBorders>
          </w:tcPr>
          <w:p w14:paraId="049C0E84" w14:textId="4F4FCBC9" w:rsidR="002A773F" w:rsidRPr="002A773F" w:rsidRDefault="002A1F1D" w:rsidP="002A773F">
            <w:pPr>
              <w:rPr>
                <w:rFonts w:ascii="Gadugi" w:hAnsi="Gadugi" w:cs="Arial"/>
                <w:b/>
                <w:color w:val="1F3864" w:themeColor="accent5" w:themeShade="80"/>
                <w:sz w:val="24"/>
                <w:szCs w:val="24"/>
              </w:rPr>
            </w:pPr>
            <w:r>
              <w:rPr>
                <w:rFonts w:ascii="Gadugi" w:hAnsi="Gadugi" w:cs="Arial"/>
                <w:b/>
                <w:color w:val="1F3864" w:themeColor="accent5" w:themeShade="80"/>
                <w:sz w:val="24"/>
                <w:szCs w:val="24"/>
              </w:rPr>
              <w:t xml:space="preserve">Peace &amp; Conflict </w:t>
            </w:r>
          </w:p>
          <w:p w14:paraId="71E5922D" w14:textId="77777777" w:rsidR="002A773F" w:rsidRPr="002A773F" w:rsidRDefault="002A773F" w:rsidP="002A773F">
            <w:pPr>
              <w:rPr>
                <w:rFonts w:ascii="Gadugi" w:hAnsi="Gadugi" w:cs="Arial"/>
                <w:color w:val="1F3864" w:themeColor="accent5" w:themeShade="80"/>
                <w:sz w:val="24"/>
                <w:szCs w:val="24"/>
              </w:rPr>
            </w:pPr>
          </w:p>
          <w:p w14:paraId="0F25B958" w14:textId="77777777" w:rsidR="002A773F" w:rsidRPr="002A773F" w:rsidRDefault="002A773F" w:rsidP="002A773F">
            <w:pPr>
              <w:rPr>
                <w:rFonts w:ascii="Gadugi" w:hAnsi="Gadugi" w:cs="Arial"/>
                <w:color w:val="1F3864" w:themeColor="accent5" w:themeShade="80"/>
                <w:sz w:val="24"/>
                <w:szCs w:val="24"/>
              </w:rPr>
            </w:pPr>
          </w:p>
          <w:p w14:paraId="1226108F" w14:textId="77777777" w:rsidR="002A773F"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What matters about Peace &amp; Conflict? </w:t>
            </w:r>
          </w:p>
          <w:p w14:paraId="61E9C164"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How was the Prophet peaceful?</w:t>
            </w:r>
          </w:p>
          <w:p w14:paraId="49F35446"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What the world needs?</w:t>
            </w:r>
          </w:p>
          <w:p w14:paraId="3878F23B"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Jihad</w:t>
            </w:r>
          </w:p>
          <w:p w14:paraId="666EACCE"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Islam &amp; Racial Harmony</w:t>
            </w:r>
          </w:p>
          <w:p w14:paraId="091BCC89"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Christianity &amp; Racial Harmony</w:t>
            </w:r>
          </w:p>
          <w:p w14:paraId="3E8B9A84"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Pacifism &amp; Conscientious Objection </w:t>
            </w:r>
          </w:p>
          <w:p w14:paraId="0511C498"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Impact of conflict – refugees </w:t>
            </w:r>
          </w:p>
          <w:p w14:paraId="25298566" w14:textId="77777777" w:rsidR="002A1F1D"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Islamophobia in Media</w:t>
            </w:r>
          </w:p>
          <w:p w14:paraId="330F6823" w14:textId="0083C1C7" w:rsidR="002A1F1D" w:rsidRPr="002A773F" w:rsidRDefault="002A1F1D" w:rsidP="002A1F1D">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Media fair? </w:t>
            </w:r>
          </w:p>
        </w:tc>
        <w:tc>
          <w:tcPr>
            <w:tcW w:w="3402" w:type="dxa"/>
            <w:tcBorders>
              <w:top w:val="single" w:sz="4" w:space="0" w:color="auto"/>
              <w:left w:val="single" w:sz="4" w:space="0" w:color="auto"/>
              <w:bottom w:val="single" w:sz="4" w:space="0" w:color="auto"/>
              <w:right w:val="single" w:sz="4" w:space="0" w:color="auto"/>
            </w:tcBorders>
          </w:tcPr>
          <w:p w14:paraId="5217705A"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Pupils will complete an extended piece of writing responding to the key question of the unit of work for Key Topic Test 1. This will enable pupils to demonstrate their knowledge and understanding against key criteria.</w:t>
            </w:r>
          </w:p>
          <w:p w14:paraId="683E1E49" w14:textId="77777777" w:rsidR="002A773F" w:rsidRPr="002A773F" w:rsidRDefault="002A773F" w:rsidP="002A773F">
            <w:pPr>
              <w:rPr>
                <w:rFonts w:ascii="Gadugi" w:hAnsi="Gadugi" w:cs="Arial"/>
                <w:color w:val="1F3864" w:themeColor="accent5" w:themeShade="80"/>
                <w:sz w:val="24"/>
                <w:szCs w:val="24"/>
              </w:rPr>
            </w:pPr>
          </w:p>
          <w:p w14:paraId="321CBE72" w14:textId="2CA2F8FC"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Prior to the assessment, pupils will have the opportunity to discuss the key </w:t>
            </w:r>
            <w:r w:rsidR="002A1F1D">
              <w:rPr>
                <w:rFonts w:ascii="Gadugi" w:hAnsi="Gadugi" w:cs="Arial"/>
                <w:color w:val="1F3864" w:themeColor="accent5" w:themeShade="80"/>
                <w:sz w:val="24"/>
                <w:szCs w:val="24"/>
              </w:rPr>
              <w:t>topic content</w:t>
            </w:r>
            <w:r w:rsidRPr="002A773F">
              <w:rPr>
                <w:rFonts w:ascii="Gadugi" w:hAnsi="Gadugi" w:cs="Arial"/>
                <w:color w:val="1F3864" w:themeColor="accent5" w:themeShade="80"/>
                <w:sz w:val="24"/>
                <w:szCs w:val="24"/>
              </w:rPr>
              <w:t xml:space="preserve"> and the work they have covered.</w:t>
            </w:r>
          </w:p>
          <w:p w14:paraId="13C2F2C9" w14:textId="77777777" w:rsidR="002A773F" w:rsidRPr="002A773F" w:rsidRDefault="002A773F" w:rsidP="002A773F">
            <w:pPr>
              <w:rPr>
                <w:rFonts w:ascii="Gadugi" w:hAnsi="Gadugi" w:cs="Arial"/>
                <w:color w:val="1F3864" w:themeColor="accent5" w:themeShade="80"/>
                <w:sz w:val="24"/>
                <w:szCs w:val="24"/>
              </w:rPr>
            </w:pPr>
          </w:p>
          <w:p w14:paraId="38E8B48E" w14:textId="33908D46"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Knowledge of this is checked with Knowledge</w:t>
            </w:r>
            <w:r w:rsidR="002A1F1D">
              <w:rPr>
                <w:rFonts w:ascii="Gadugi" w:hAnsi="Gadugi" w:cs="Arial"/>
                <w:color w:val="1F3864" w:themeColor="accent5" w:themeShade="80"/>
                <w:sz w:val="24"/>
                <w:szCs w:val="24"/>
              </w:rPr>
              <w:t xml:space="preserve"> Checks </w:t>
            </w:r>
            <w:r w:rsidRPr="002A773F">
              <w:rPr>
                <w:rFonts w:ascii="Gadugi" w:hAnsi="Gadugi" w:cs="Arial"/>
                <w:color w:val="1F3864" w:themeColor="accent5" w:themeShade="80"/>
                <w:sz w:val="24"/>
                <w:szCs w:val="24"/>
              </w:rPr>
              <w:t xml:space="preserve">part way through the unit. </w:t>
            </w:r>
          </w:p>
          <w:p w14:paraId="711AE366" w14:textId="4A06237B" w:rsidR="002A773F" w:rsidRPr="002A773F" w:rsidRDefault="002A773F" w:rsidP="002A773F">
            <w:pPr>
              <w:rPr>
                <w:rFonts w:ascii="Gadugi" w:hAnsi="Gadugi" w:cs="Arial"/>
                <w:iCs/>
                <w:color w:val="1F3864" w:themeColor="accent5" w:themeShade="80"/>
                <w:sz w:val="24"/>
                <w:szCs w:val="24"/>
              </w:rPr>
            </w:pPr>
          </w:p>
        </w:tc>
        <w:tc>
          <w:tcPr>
            <w:tcW w:w="4394" w:type="dxa"/>
            <w:tcBorders>
              <w:top w:val="single" w:sz="4" w:space="0" w:color="auto"/>
              <w:left w:val="single" w:sz="4" w:space="0" w:color="auto"/>
              <w:bottom w:val="single" w:sz="4" w:space="0" w:color="auto"/>
              <w:right w:val="single" w:sz="4" w:space="0" w:color="auto"/>
            </w:tcBorders>
          </w:tcPr>
          <w:p w14:paraId="60D4F279" w14:textId="77777777" w:rsid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This unit of work aims to explore the </w:t>
            </w:r>
            <w:r w:rsidR="0098350A">
              <w:rPr>
                <w:rFonts w:ascii="Gadugi" w:hAnsi="Gadugi" w:cs="Arial"/>
                <w:color w:val="1F3864" w:themeColor="accent5" w:themeShade="80"/>
                <w:sz w:val="24"/>
                <w:szCs w:val="24"/>
              </w:rPr>
              <w:t>theme around peace &amp; conflict – exploring what these two key terms mean and how they can be understood. Pupils will use Islam &amp; Christianity to explore how religious teachings shape the way a person lives and views certain situations.</w:t>
            </w:r>
            <w:r w:rsidR="00234B8E">
              <w:rPr>
                <w:rFonts w:ascii="Gadugi" w:hAnsi="Gadugi" w:cs="Arial"/>
                <w:color w:val="1F3864" w:themeColor="accent5" w:themeShade="80"/>
                <w:sz w:val="24"/>
                <w:szCs w:val="24"/>
              </w:rPr>
              <w:t xml:space="preserve"> This then leads pupils on to using this knowledge in a real-life context of refugees and helping those during times of conflict. </w:t>
            </w:r>
            <w:r w:rsidRPr="002A773F">
              <w:rPr>
                <w:rFonts w:ascii="Gadugi" w:hAnsi="Gadugi" w:cs="Arial"/>
                <w:color w:val="1F3864" w:themeColor="accent5" w:themeShade="80"/>
                <w:sz w:val="24"/>
                <w:szCs w:val="24"/>
              </w:rPr>
              <w:t>A key skill which is developed in this unit is using sources of authority to show why people do what they do</w:t>
            </w:r>
            <w:r w:rsidR="0098350A">
              <w:rPr>
                <w:rFonts w:ascii="Gadugi" w:hAnsi="Gadugi" w:cs="Arial"/>
                <w:color w:val="1F3864" w:themeColor="accent5" w:themeShade="80"/>
                <w:sz w:val="24"/>
                <w:szCs w:val="24"/>
              </w:rPr>
              <w:t xml:space="preserve"> and how this can impact the way that they live. </w:t>
            </w:r>
          </w:p>
          <w:p w14:paraId="2F92B458" w14:textId="4BE0AE05" w:rsidR="003B3744" w:rsidRPr="002A773F" w:rsidRDefault="003B3744"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This topics gives a basis of learning leading up to the GCSE content in Year 11. </w:t>
            </w:r>
          </w:p>
        </w:tc>
        <w:tc>
          <w:tcPr>
            <w:tcW w:w="3767" w:type="dxa"/>
            <w:tcBorders>
              <w:top w:val="single" w:sz="4" w:space="0" w:color="auto"/>
              <w:left w:val="single" w:sz="4" w:space="0" w:color="auto"/>
              <w:bottom w:val="single" w:sz="4" w:space="0" w:color="auto"/>
              <w:right w:val="single" w:sz="4" w:space="0" w:color="auto"/>
            </w:tcBorders>
          </w:tcPr>
          <w:p w14:paraId="4C53772E" w14:textId="77E477A1"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w:t>
            </w:r>
            <w:r w:rsidR="00365574">
              <w:rPr>
                <w:rFonts w:ascii="Gadugi" w:hAnsi="Gadugi" w:cs="Arial"/>
                <w:color w:val="1F3864" w:themeColor="accent5" w:themeShade="80"/>
                <w:sz w:val="24"/>
                <w:szCs w:val="24"/>
              </w:rPr>
              <w:t xml:space="preserve">do-now </w:t>
            </w:r>
            <w:r w:rsidRPr="002A773F">
              <w:rPr>
                <w:rFonts w:ascii="Gadugi" w:hAnsi="Gadugi" w:cs="Arial"/>
                <w:color w:val="1F3864" w:themeColor="accent5" w:themeShade="80"/>
                <w:sz w:val="24"/>
                <w:szCs w:val="24"/>
              </w:rPr>
              <w:t xml:space="preserve"> slide has key vocab for the lesson on it and this is also provided on a glossary sheet. </w:t>
            </w:r>
          </w:p>
          <w:p w14:paraId="390FEC97" w14:textId="77777777" w:rsidR="002A773F" w:rsidRPr="002A773F" w:rsidRDefault="002A773F" w:rsidP="002A773F">
            <w:pPr>
              <w:rPr>
                <w:rFonts w:ascii="Gadugi" w:hAnsi="Gadugi" w:cs="Arial"/>
                <w:color w:val="1F3864" w:themeColor="accent5" w:themeShade="80"/>
                <w:sz w:val="24"/>
                <w:szCs w:val="24"/>
              </w:rPr>
            </w:pPr>
          </w:p>
          <w:p w14:paraId="32F41E45" w14:textId="48E9C77A"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highlight w:val="yellow"/>
              </w:rPr>
              <w:t xml:space="preserve">Pupils will discuss </w:t>
            </w:r>
            <w:r w:rsidR="00365574">
              <w:rPr>
                <w:rFonts w:ascii="Gadugi" w:hAnsi="Gadugi" w:cs="Arial"/>
                <w:color w:val="1F3864" w:themeColor="accent5" w:themeShade="80"/>
                <w:sz w:val="24"/>
                <w:szCs w:val="24"/>
                <w:highlight w:val="yellow"/>
              </w:rPr>
              <w:t xml:space="preserve">the rights and wrongs of conflict – as well as the role of the media towards conflict </w:t>
            </w:r>
            <w:r w:rsidRPr="002A773F">
              <w:rPr>
                <w:rFonts w:ascii="Gadugi" w:hAnsi="Gadugi" w:cs="Arial"/>
                <w:color w:val="1F3864" w:themeColor="accent5" w:themeShade="80"/>
                <w:sz w:val="24"/>
                <w:szCs w:val="24"/>
              </w:rPr>
              <w:t xml:space="preserve"> </w:t>
            </w:r>
          </w:p>
          <w:p w14:paraId="5A3A067F" w14:textId="77777777" w:rsidR="002A773F" w:rsidRPr="002A773F" w:rsidRDefault="002A773F" w:rsidP="002A773F">
            <w:pPr>
              <w:rPr>
                <w:rFonts w:ascii="Gadugi" w:hAnsi="Gadugi" w:cs="Arial"/>
                <w:color w:val="1F3864" w:themeColor="accent5" w:themeShade="80"/>
                <w:sz w:val="24"/>
                <w:szCs w:val="24"/>
              </w:rPr>
            </w:pPr>
          </w:p>
          <w:p w14:paraId="7F181046" w14:textId="36775074"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Pupils complete an extended piece of writing about </w:t>
            </w:r>
            <w:r w:rsidR="00365574">
              <w:rPr>
                <w:rFonts w:ascii="Gadugi" w:hAnsi="Gadugi" w:cs="Arial"/>
                <w:color w:val="1F3864" w:themeColor="accent5" w:themeShade="80"/>
                <w:sz w:val="24"/>
                <w:szCs w:val="24"/>
              </w:rPr>
              <w:t xml:space="preserve">the impact of conflict </w:t>
            </w:r>
          </w:p>
          <w:p w14:paraId="59353AF9" w14:textId="77777777" w:rsidR="002A773F" w:rsidRPr="002A773F" w:rsidRDefault="002A773F" w:rsidP="002A773F">
            <w:pPr>
              <w:rPr>
                <w:rFonts w:ascii="Gadugi" w:hAnsi="Gadugi" w:cs="Arial"/>
                <w:color w:val="1F3864" w:themeColor="accent5" w:themeShade="80"/>
                <w:sz w:val="24"/>
                <w:szCs w:val="24"/>
              </w:rPr>
            </w:pPr>
          </w:p>
          <w:p w14:paraId="2A1D6A36" w14:textId="13D994DC" w:rsidR="002A773F" w:rsidRPr="002A773F" w:rsidRDefault="002A773F" w:rsidP="002A773F">
            <w:pPr>
              <w:rPr>
                <w:rFonts w:ascii="Gadugi" w:hAnsi="Gadugi" w:cs="Arial"/>
                <w:iCs/>
                <w:color w:val="1F3864" w:themeColor="accent5" w:themeShade="80"/>
                <w:sz w:val="24"/>
                <w:szCs w:val="24"/>
              </w:rPr>
            </w:pPr>
          </w:p>
        </w:tc>
      </w:tr>
      <w:tr w:rsidR="002A773F" w:rsidRPr="00C37102" w14:paraId="4668EEE3" w14:textId="77777777" w:rsidTr="002A773F">
        <w:trPr>
          <w:trHeight w:val="6785"/>
        </w:trPr>
        <w:tc>
          <w:tcPr>
            <w:tcW w:w="1271" w:type="dxa"/>
          </w:tcPr>
          <w:p w14:paraId="2EB695D5" w14:textId="1B0651E9" w:rsidR="002A773F" w:rsidRPr="002A773F" w:rsidRDefault="002A773F" w:rsidP="002A773F">
            <w:pPr>
              <w:jc w:val="center"/>
              <w:rPr>
                <w:rFonts w:ascii="Gadugi" w:hAnsi="Gadugi" w:cs="Arial"/>
                <w:b/>
                <w:bCs/>
                <w:color w:val="1F3864" w:themeColor="accent5" w:themeShade="80"/>
                <w:sz w:val="24"/>
                <w:szCs w:val="24"/>
              </w:rPr>
            </w:pPr>
            <w:r w:rsidRPr="002A773F">
              <w:rPr>
                <w:rFonts w:ascii="Gadugi" w:hAnsi="Gadugi" w:cs="Arial"/>
                <w:color w:val="1F3864" w:themeColor="accent5" w:themeShade="80"/>
                <w:sz w:val="24"/>
                <w:szCs w:val="24"/>
              </w:rPr>
              <w:lastRenderedPageBreak/>
              <w:t>Spring Term –</w:t>
            </w:r>
            <w:r>
              <w:rPr>
                <w:rFonts w:ascii="Gadugi" w:hAnsi="Gadugi" w:cs="Arial"/>
                <w:color w:val="1F3864" w:themeColor="accent5" w:themeShade="80"/>
                <w:sz w:val="24"/>
                <w:szCs w:val="24"/>
              </w:rPr>
              <w:t xml:space="preserve"> Half Term 3</w:t>
            </w:r>
          </w:p>
        </w:tc>
        <w:tc>
          <w:tcPr>
            <w:tcW w:w="2972" w:type="dxa"/>
            <w:tcBorders>
              <w:top w:val="single" w:sz="4" w:space="0" w:color="auto"/>
              <w:left w:val="single" w:sz="4" w:space="0" w:color="auto"/>
              <w:bottom w:val="single" w:sz="4" w:space="0" w:color="auto"/>
              <w:right w:val="single" w:sz="4" w:space="0" w:color="auto"/>
            </w:tcBorders>
          </w:tcPr>
          <w:p w14:paraId="0E65DC0A" w14:textId="16A3E2AE" w:rsidR="002A773F" w:rsidRPr="002A773F" w:rsidRDefault="00B23FBB" w:rsidP="002A773F">
            <w:pPr>
              <w:rPr>
                <w:rFonts w:ascii="Gadugi" w:hAnsi="Gadugi" w:cs="Arial"/>
                <w:b/>
                <w:color w:val="1F3864" w:themeColor="accent5" w:themeShade="80"/>
                <w:sz w:val="24"/>
                <w:szCs w:val="24"/>
              </w:rPr>
            </w:pPr>
            <w:r>
              <w:rPr>
                <w:rFonts w:ascii="Gadugi" w:hAnsi="Gadugi" w:cs="Arial"/>
                <w:b/>
                <w:color w:val="1F3864" w:themeColor="accent5" w:themeShade="80"/>
                <w:sz w:val="24"/>
                <w:szCs w:val="24"/>
              </w:rPr>
              <w:t>Medical Ethics</w:t>
            </w:r>
          </w:p>
          <w:p w14:paraId="74B7210E" w14:textId="77777777" w:rsidR="002A773F" w:rsidRPr="002A773F" w:rsidRDefault="002A773F" w:rsidP="002A773F">
            <w:pPr>
              <w:rPr>
                <w:rFonts w:ascii="Gadugi" w:hAnsi="Gadugi" w:cs="Arial"/>
                <w:color w:val="1F3864" w:themeColor="accent5" w:themeShade="80"/>
                <w:sz w:val="24"/>
                <w:szCs w:val="24"/>
              </w:rPr>
            </w:pPr>
          </w:p>
          <w:p w14:paraId="2CDDBFE2"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Dialysis – Decision Making</w:t>
            </w:r>
          </w:p>
          <w:p w14:paraId="210F177E"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IVF</w:t>
            </w:r>
          </w:p>
          <w:p w14:paraId="73055591"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Religious Attitudes to IVF</w:t>
            </w:r>
          </w:p>
          <w:p w14:paraId="4B5DB75A"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Transplant Surgery </w:t>
            </w:r>
          </w:p>
          <w:p w14:paraId="60B4F1EA"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Religious Attitudes to Transplant Surgery </w:t>
            </w:r>
          </w:p>
          <w:p w14:paraId="6E4DD620"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Donor Card Debate</w:t>
            </w:r>
          </w:p>
          <w:p w14:paraId="553A386D" w14:textId="77777777" w:rsidR="00B23FBB" w:rsidRDefault="00B23FBB"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Genetic Engineering </w:t>
            </w:r>
          </w:p>
          <w:p w14:paraId="2D9EE2D9" w14:textId="33CFAA04" w:rsidR="002A773F" w:rsidRPr="002A773F" w:rsidRDefault="00B23FBB" w:rsidP="002A773F">
            <w:pPr>
              <w:rPr>
                <w:rFonts w:ascii="Gadugi" w:hAnsi="Gadugi" w:cs="Arial"/>
                <w:iCs/>
                <w:color w:val="1F3864" w:themeColor="accent5" w:themeShade="80"/>
                <w:sz w:val="24"/>
                <w:szCs w:val="24"/>
              </w:rPr>
            </w:pPr>
            <w:r>
              <w:rPr>
                <w:rFonts w:ascii="Gadugi" w:hAnsi="Gadugi" w:cs="Arial"/>
                <w:color w:val="1F3864" w:themeColor="accent5" w:themeShade="80"/>
                <w:sz w:val="24"/>
                <w:szCs w:val="24"/>
              </w:rPr>
              <w:t xml:space="preserve">Religious Attitudes to Genetic Engineering </w:t>
            </w:r>
            <w:r w:rsidR="002A773F" w:rsidRPr="002A773F">
              <w:rPr>
                <w:rFonts w:ascii="Gadugi" w:hAnsi="Gadugi" w:cs="Arial"/>
                <w:color w:val="1F3864" w:themeColor="accent5" w:themeShade="80"/>
                <w:sz w:val="24"/>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076D5899"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Pupils will complete an extended piece of writing responding to the key question of the unit of work in Key Topic Test 2. This will enable pupils to demonstrate their knowledge and understanding against key criteria.</w:t>
            </w:r>
          </w:p>
          <w:p w14:paraId="08ECA773" w14:textId="77777777" w:rsidR="002A773F" w:rsidRPr="002A773F" w:rsidRDefault="002A773F" w:rsidP="002A773F">
            <w:pPr>
              <w:rPr>
                <w:rFonts w:ascii="Gadugi" w:hAnsi="Gadugi" w:cs="Arial"/>
                <w:color w:val="1F3864" w:themeColor="accent5" w:themeShade="80"/>
                <w:sz w:val="24"/>
                <w:szCs w:val="24"/>
              </w:rPr>
            </w:pPr>
          </w:p>
          <w:p w14:paraId="79E08D4A" w14:textId="2161B7E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Knowledge of this is checked with Knowledge</w:t>
            </w:r>
            <w:r w:rsidR="00697425">
              <w:rPr>
                <w:rFonts w:ascii="Gadugi" w:hAnsi="Gadugi" w:cs="Arial"/>
                <w:color w:val="1F3864" w:themeColor="accent5" w:themeShade="80"/>
                <w:sz w:val="24"/>
                <w:szCs w:val="24"/>
              </w:rPr>
              <w:t xml:space="preserve"> Checks </w:t>
            </w:r>
            <w:r w:rsidRPr="002A773F">
              <w:rPr>
                <w:rFonts w:ascii="Gadugi" w:hAnsi="Gadugi" w:cs="Arial"/>
                <w:color w:val="1F3864" w:themeColor="accent5" w:themeShade="80"/>
                <w:sz w:val="24"/>
                <w:szCs w:val="24"/>
              </w:rPr>
              <w:t xml:space="preserve">part way through the unit. </w:t>
            </w:r>
          </w:p>
          <w:p w14:paraId="369937A9" w14:textId="77777777" w:rsidR="002A773F" w:rsidRPr="002A773F" w:rsidRDefault="002A773F" w:rsidP="002A773F">
            <w:pPr>
              <w:rPr>
                <w:rFonts w:ascii="Gadugi" w:hAnsi="Gadugi" w:cs="Arial"/>
                <w:color w:val="1F3864" w:themeColor="accent5" w:themeShade="80"/>
                <w:sz w:val="24"/>
                <w:szCs w:val="24"/>
              </w:rPr>
            </w:pPr>
          </w:p>
          <w:p w14:paraId="437169D6" w14:textId="65EA9673" w:rsidR="002A773F" w:rsidRPr="002A773F" w:rsidRDefault="002A773F" w:rsidP="002A773F">
            <w:pPr>
              <w:rPr>
                <w:rFonts w:ascii="Gadugi" w:hAnsi="Gadugi" w:cs="Arial"/>
                <w:iCs/>
                <w:color w:val="1F3864" w:themeColor="accent5" w:themeShade="80"/>
                <w:sz w:val="24"/>
                <w:szCs w:val="24"/>
              </w:rPr>
            </w:pPr>
            <w:r w:rsidRPr="002A773F">
              <w:rPr>
                <w:rFonts w:ascii="Gadugi" w:hAnsi="Gadugi" w:cs="Arial"/>
                <w:color w:val="1F3864" w:themeColor="accent5" w:themeShade="80"/>
                <w:sz w:val="24"/>
                <w:szCs w:val="24"/>
              </w:rPr>
              <w:t xml:space="preserve">Prior to the assessment, pupils will have the opportunity to discuss the key </w:t>
            </w:r>
            <w:r w:rsidR="00697425">
              <w:rPr>
                <w:rFonts w:ascii="Gadugi" w:hAnsi="Gadugi" w:cs="Arial"/>
                <w:color w:val="1F3864" w:themeColor="accent5" w:themeShade="80"/>
                <w:sz w:val="24"/>
                <w:szCs w:val="24"/>
              </w:rPr>
              <w:t>topics</w:t>
            </w:r>
            <w:r w:rsidRPr="002A773F">
              <w:rPr>
                <w:rFonts w:ascii="Gadugi" w:hAnsi="Gadugi" w:cs="Arial"/>
                <w:color w:val="1F3864" w:themeColor="accent5" w:themeShade="80"/>
                <w:sz w:val="24"/>
                <w:szCs w:val="24"/>
              </w:rPr>
              <w:t xml:space="preserve"> and the work they have covered.</w:t>
            </w:r>
          </w:p>
        </w:tc>
        <w:tc>
          <w:tcPr>
            <w:tcW w:w="4394" w:type="dxa"/>
            <w:tcBorders>
              <w:top w:val="single" w:sz="4" w:space="0" w:color="auto"/>
              <w:left w:val="single" w:sz="4" w:space="0" w:color="auto"/>
              <w:bottom w:val="single" w:sz="4" w:space="0" w:color="auto"/>
              <w:right w:val="single" w:sz="4" w:space="0" w:color="auto"/>
            </w:tcBorders>
          </w:tcPr>
          <w:p w14:paraId="6B73EF5C" w14:textId="77777777" w:rsidR="002A773F" w:rsidRDefault="003A7E29"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This unit allows for pupils to look at larger ethical problems and then connect these to different religious attitudes to the topics. It will also introduce the idea of ethical arguments – e.g. situation ethics and utilitarianism. </w:t>
            </w:r>
            <w:r w:rsidR="00B075A9">
              <w:rPr>
                <w:rFonts w:ascii="Gadugi" w:hAnsi="Gadugi" w:cs="Arial"/>
                <w:iCs/>
                <w:color w:val="1F3864" w:themeColor="accent5" w:themeShade="80"/>
                <w:sz w:val="24"/>
                <w:szCs w:val="24"/>
              </w:rPr>
              <w:t>Pupils will learn about the different medical procedures first – then the religious attitudes too.</w:t>
            </w:r>
          </w:p>
          <w:p w14:paraId="45EAB096" w14:textId="77777777" w:rsidR="00B075A9" w:rsidRDefault="00B075A9"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Pupils will have the opportunity to debate their own viewpoints on these topics also. </w:t>
            </w:r>
          </w:p>
          <w:p w14:paraId="70F609C3" w14:textId="74A4018C" w:rsidR="004D7492" w:rsidRPr="002A773F" w:rsidRDefault="004D7492"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Careers focus on jobs within the medical field focusing on these topics – as well as religious/non-religious people choosing these jobs </w:t>
            </w:r>
          </w:p>
        </w:tc>
        <w:tc>
          <w:tcPr>
            <w:tcW w:w="3767" w:type="dxa"/>
            <w:tcBorders>
              <w:top w:val="single" w:sz="4" w:space="0" w:color="auto"/>
              <w:left w:val="single" w:sz="4" w:space="0" w:color="auto"/>
              <w:bottom w:val="single" w:sz="4" w:space="0" w:color="auto"/>
              <w:right w:val="single" w:sz="4" w:space="0" w:color="auto"/>
            </w:tcBorders>
          </w:tcPr>
          <w:p w14:paraId="72F743D1" w14:textId="5399314B"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w:t>
            </w:r>
            <w:r w:rsidR="00E6652D">
              <w:rPr>
                <w:rFonts w:ascii="Gadugi" w:hAnsi="Gadugi" w:cs="Arial"/>
                <w:color w:val="1F3864" w:themeColor="accent5" w:themeShade="80"/>
                <w:sz w:val="24"/>
                <w:szCs w:val="24"/>
              </w:rPr>
              <w:t>do-now</w:t>
            </w:r>
            <w:r w:rsidRPr="002A773F">
              <w:rPr>
                <w:rFonts w:ascii="Gadugi" w:hAnsi="Gadugi" w:cs="Arial"/>
                <w:color w:val="1F3864" w:themeColor="accent5" w:themeShade="80"/>
                <w:sz w:val="24"/>
                <w:szCs w:val="24"/>
              </w:rPr>
              <w:t xml:space="preserve"> slide has key vocab for the lesson on it and this is also provided on a glossary sheet. </w:t>
            </w:r>
          </w:p>
          <w:p w14:paraId="12F19892" w14:textId="77777777" w:rsidR="002A773F" w:rsidRPr="002A773F" w:rsidRDefault="002A773F" w:rsidP="002A773F">
            <w:pPr>
              <w:rPr>
                <w:rFonts w:ascii="Gadugi" w:hAnsi="Gadugi" w:cs="Arial"/>
                <w:color w:val="1F3864" w:themeColor="accent5" w:themeShade="80"/>
                <w:sz w:val="24"/>
                <w:szCs w:val="24"/>
              </w:rPr>
            </w:pPr>
          </w:p>
          <w:p w14:paraId="5976E564" w14:textId="607D4B46"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Pupils will complete an extended piece of writing </w:t>
            </w:r>
            <w:r w:rsidR="00D01A75">
              <w:rPr>
                <w:rFonts w:ascii="Gadugi" w:hAnsi="Gadugi" w:cs="Arial"/>
                <w:color w:val="1F3864" w:themeColor="accent5" w:themeShade="80"/>
                <w:sz w:val="24"/>
                <w:szCs w:val="24"/>
              </w:rPr>
              <w:t>on the use of organ donation.</w:t>
            </w:r>
          </w:p>
          <w:p w14:paraId="414B0AB0" w14:textId="77777777" w:rsidR="002A773F" w:rsidRPr="002A773F" w:rsidRDefault="002A773F" w:rsidP="002A773F">
            <w:pPr>
              <w:rPr>
                <w:rFonts w:ascii="Gadugi" w:hAnsi="Gadugi" w:cs="Arial"/>
                <w:color w:val="1F3864" w:themeColor="accent5" w:themeShade="80"/>
                <w:sz w:val="24"/>
                <w:szCs w:val="24"/>
              </w:rPr>
            </w:pPr>
          </w:p>
          <w:p w14:paraId="76E5E836" w14:textId="77777777" w:rsidR="002A773F" w:rsidRPr="002A773F" w:rsidRDefault="002A773F" w:rsidP="002A773F">
            <w:pPr>
              <w:rPr>
                <w:rFonts w:ascii="Gadugi" w:hAnsi="Gadugi" w:cs="Arial"/>
                <w:color w:val="1F3864" w:themeColor="accent5" w:themeShade="80"/>
                <w:sz w:val="24"/>
                <w:szCs w:val="24"/>
              </w:rPr>
            </w:pPr>
          </w:p>
          <w:p w14:paraId="6D0A5D7F" w14:textId="0B6432D0"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highlight w:val="yellow"/>
              </w:rPr>
              <w:t xml:space="preserve">Oracy – </w:t>
            </w:r>
            <w:r w:rsidR="00AE6C8C">
              <w:rPr>
                <w:rFonts w:ascii="Gadugi" w:hAnsi="Gadugi" w:cs="Arial"/>
                <w:color w:val="1F3864" w:themeColor="accent5" w:themeShade="80"/>
                <w:sz w:val="24"/>
                <w:szCs w:val="24"/>
                <w:highlight w:val="yellow"/>
              </w:rPr>
              <w:t xml:space="preserve">debate on dialysis in lesson 1 </w:t>
            </w:r>
            <w:r w:rsidR="00E6652D">
              <w:rPr>
                <w:rFonts w:ascii="Gadugi" w:hAnsi="Gadugi" w:cs="Arial"/>
                <w:color w:val="1F3864" w:themeColor="accent5" w:themeShade="80"/>
                <w:sz w:val="24"/>
                <w:szCs w:val="24"/>
                <w:highlight w:val="yellow"/>
              </w:rPr>
              <w:t xml:space="preserve">&amp; donor card debate lesson built in </w:t>
            </w:r>
          </w:p>
          <w:p w14:paraId="29E16192" w14:textId="33C62DB6" w:rsidR="002A773F" w:rsidRPr="002A773F" w:rsidRDefault="002A773F" w:rsidP="002A773F">
            <w:pPr>
              <w:rPr>
                <w:rFonts w:ascii="Gadugi" w:hAnsi="Gadugi" w:cs="Arial"/>
                <w:iCs/>
                <w:color w:val="1F3864" w:themeColor="accent5" w:themeShade="80"/>
                <w:sz w:val="24"/>
                <w:szCs w:val="24"/>
              </w:rPr>
            </w:pPr>
          </w:p>
        </w:tc>
      </w:tr>
      <w:tr w:rsidR="002A773F" w:rsidRPr="00C37102" w14:paraId="60242BCC" w14:textId="77777777" w:rsidTr="003A1F86">
        <w:trPr>
          <w:trHeight w:val="3388"/>
        </w:trPr>
        <w:tc>
          <w:tcPr>
            <w:tcW w:w="1271" w:type="dxa"/>
          </w:tcPr>
          <w:p w14:paraId="37A4FAAF" w14:textId="1A3B20E1" w:rsidR="002A773F" w:rsidRPr="002A773F" w:rsidRDefault="002A773F" w:rsidP="002A773F">
            <w:pPr>
              <w:rPr>
                <w:rFonts w:ascii="Gadugi" w:hAnsi="Gadugi" w:cs="Arial"/>
                <w:b/>
                <w:bCs/>
                <w:color w:val="1F3864" w:themeColor="accent5" w:themeShade="80"/>
                <w:sz w:val="24"/>
                <w:szCs w:val="24"/>
              </w:rPr>
            </w:pPr>
            <w:r w:rsidRPr="002A773F">
              <w:rPr>
                <w:rFonts w:ascii="Gadugi" w:hAnsi="Gadugi" w:cs="Arial"/>
                <w:color w:val="1F3864" w:themeColor="accent5" w:themeShade="80"/>
                <w:sz w:val="24"/>
                <w:szCs w:val="24"/>
              </w:rPr>
              <w:t xml:space="preserve">Spring Term – </w:t>
            </w:r>
            <w:r>
              <w:rPr>
                <w:rFonts w:ascii="Gadugi" w:hAnsi="Gadugi" w:cs="Arial"/>
                <w:color w:val="1F3864" w:themeColor="accent5" w:themeShade="80"/>
                <w:sz w:val="24"/>
                <w:szCs w:val="24"/>
              </w:rPr>
              <w:t>Half Term 4</w:t>
            </w:r>
          </w:p>
        </w:tc>
        <w:tc>
          <w:tcPr>
            <w:tcW w:w="2972" w:type="dxa"/>
            <w:tcBorders>
              <w:top w:val="single" w:sz="4" w:space="0" w:color="auto"/>
              <w:left w:val="single" w:sz="4" w:space="0" w:color="auto"/>
              <w:bottom w:val="single" w:sz="4" w:space="0" w:color="auto"/>
              <w:right w:val="single" w:sz="4" w:space="0" w:color="auto"/>
            </w:tcBorders>
          </w:tcPr>
          <w:p w14:paraId="58DF0038" w14:textId="2F0D76C0" w:rsidR="002A773F" w:rsidRPr="002A773F" w:rsidRDefault="00FA74A0" w:rsidP="002A773F">
            <w:pPr>
              <w:rPr>
                <w:rFonts w:ascii="Gadugi" w:hAnsi="Gadugi" w:cs="Arial"/>
                <w:b/>
                <w:color w:val="1F3864" w:themeColor="accent5" w:themeShade="80"/>
                <w:sz w:val="24"/>
                <w:szCs w:val="24"/>
              </w:rPr>
            </w:pPr>
            <w:r>
              <w:rPr>
                <w:rFonts w:ascii="Gadugi" w:hAnsi="Gadugi" w:cs="Arial"/>
                <w:b/>
                <w:color w:val="1F3864" w:themeColor="accent5" w:themeShade="80"/>
                <w:sz w:val="24"/>
                <w:szCs w:val="24"/>
              </w:rPr>
              <w:t xml:space="preserve">Ultimate Questions – Philosophy </w:t>
            </w:r>
          </w:p>
          <w:p w14:paraId="7E185448" w14:textId="77777777" w:rsidR="002A773F" w:rsidRPr="002A773F" w:rsidRDefault="002A773F" w:rsidP="002A773F">
            <w:pPr>
              <w:rPr>
                <w:rFonts w:ascii="Gadugi" w:hAnsi="Gadugi" w:cs="Arial"/>
                <w:color w:val="1F3864" w:themeColor="accent5" w:themeShade="80"/>
                <w:sz w:val="24"/>
                <w:szCs w:val="24"/>
              </w:rPr>
            </w:pPr>
          </w:p>
          <w:p w14:paraId="0EB5E931" w14:textId="77777777" w:rsidR="002A773F" w:rsidRDefault="008F25A2" w:rsidP="00FA74A0">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What is God like?</w:t>
            </w:r>
          </w:p>
          <w:p w14:paraId="5938BBBB" w14:textId="77777777" w:rsidR="008F25A2" w:rsidRDefault="00417D9D" w:rsidP="00FA74A0">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Does believing in God make people good?</w:t>
            </w:r>
          </w:p>
          <w:p w14:paraId="3EEEE1EA" w14:textId="77777777" w:rsidR="00417D9D" w:rsidRDefault="00417D9D" w:rsidP="00FA74A0">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What is real?</w:t>
            </w:r>
          </w:p>
          <w:p w14:paraId="24FB3D6E" w14:textId="77777777" w:rsidR="00417D9D" w:rsidRDefault="00417D9D" w:rsidP="00FA74A0">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Suffering – is it worth it?</w:t>
            </w:r>
          </w:p>
          <w:p w14:paraId="6D47AECD" w14:textId="77777777" w:rsidR="00417D9D" w:rsidRDefault="00417D9D" w:rsidP="00FA74A0">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What happens when we die?</w:t>
            </w:r>
          </w:p>
          <w:p w14:paraId="4F31E317" w14:textId="78F0DF5F" w:rsidR="00417D9D" w:rsidRPr="002A773F" w:rsidRDefault="00417D9D" w:rsidP="00FA74A0">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How did we all get here?</w:t>
            </w:r>
          </w:p>
        </w:tc>
        <w:tc>
          <w:tcPr>
            <w:tcW w:w="3402" w:type="dxa"/>
            <w:tcBorders>
              <w:top w:val="single" w:sz="4" w:space="0" w:color="auto"/>
              <w:left w:val="single" w:sz="4" w:space="0" w:color="auto"/>
              <w:bottom w:val="single" w:sz="4" w:space="0" w:color="auto"/>
              <w:right w:val="single" w:sz="4" w:space="0" w:color="auto"/>
            </w:tcBorders>
          </w:tcPr>
          <w:p w14:paraId="031A179B" w14:textId="77777777" w:rsidR="00D567C9" w:rsidRPr="002A773F" w:rsidRDefault="00D567C9" w:rsidP="00D567C9">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Knowledge of this is checked with Knowledge</w:t>
            </w:r>
            <w:r>
              <w:rPr>
                <w:rFonts w:ascii="Gadugi" w:hAnsi="Gadugi" w:cs="Arial"/>
                <w:color w:val="1F3864" w:themeColor="accent5" w:themeShade="80"/>
                <w:sz w:val="24"/>
                <w:szCs w:val="24"/>
              </w:rPr>
              <w:t xml:space="preserve"> Checks </w:t>
            </w:r>
            <w:r w:rsidRPr="002A773F">
              <w:rPr>
                <w:rFonts w:ascii="Gadugi" w:hAnsi="Gadugi" w:cs="Arial"/>
                <w:color w:val="1F3864" w:themeColor="accent5" w:themeShade="80"/>
                <w:sz w:val="24"/>
                <w:szCs w:val="24"/>
              </w:rPr>
              <w:t xml:space="preserve">part way through the unit. </w:t>
            </w:r>
          </w:p>
          <w:p w14:paraId="47E1C930" w14:textId="40C28FF9" w:rsidR="002A773F" w:rsidRPr="002A773F" w:rsidRDefault="002A773F" w:rsidP="002A773F">
            <w:pPr>
              <w:ind w:left="103"/>
              <w:rPr>
                <w:rFonts w:ascii="Gadugi" w:hAnsi="Gadugi" w:cs="Arial"/>
                <w:iCs/>
                <w:color w:val="1F3864" w:themeColor="accent5" w:themeShade="80"/>
                <w:sz w:val="24"/>
                <w:szCs w:val="24"/>
              </w:rPr>
            </w:pPr>
          </w:p>
        </w:tc>
        <w:tc>
          <w:tcPr>
            <w:tcW w:w="4394" w:type="dxa"/>
            <w:tcBorders>
              <w:top w:val="single" w:sz="4" w:space="0" w:color="auto"/>
              <w:left w:val="single" w:sz="4" w:space="0" w:color="auto"/>
              <w:bottom w:val="single" w:sz="4" w:space="0" w:color="auto"/>
              <w:right w:val="single" w:sz="4" w:space="0" w:color="auto"/>
            </w:tcBorders>
          </w:tcPr>
          <w:p w14:paraId="3C8891FD" w14:textId="77777777" w:rsidR="00C549B7" w:rsidRDefault="002A773F" w:rsidP="00C549B7">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This unit </w:t>
            </w:r>
            <w:r w:rsidR="00C549B7">
              <w:rPr>
                <w:rFonts w:ascii="Gadugi" w:hAnsi="Gadugi" w:cs="Arial"/>
                <w:color w:val="1F3864" w:themeColor="accent5" w:themeShade="80"/>
                <w:sz w:val="24"/>
                <w:szCs w:val="24"/>
              </w:rPr>
              <w:t xml:space="preserve">allows pupils to explore the ultimate questions in life – looking at a variety of opinions, including from the major 6 world faiths and non-religious points of view, as well as formulating their own ideas. </w:t>
            </w:r>
          </w:p>
          <w:p w14:paraId="3BF01C7E" w14:textId="4922780F" w:rsidR="002A773F" w:rsidRPr="002A773F" w:rsidRDefault="00C549B7" w:rsidP="00C549B7">
            <w:pPr>
              <w:rPr>
                <w:rFonts w:ascii="Gadugi" w:hAnsi="Gadugi" w:cs="Arial"/>
                <w:iCs/>
                <w:color w:val="1F3864" w:themeColor="accent5" w:themeShade="80"/>
                <w:sz w:val="24"/>
                <w:szCs w:val="24"/>
              </w:rPr>
            </w:pPr>
            <w:r>
              <w:rPr>
                <w:rFonts w:ascii="Gadugi" w:hAnsi="Gadugi" w:cs="Arial"/>
                <w:color w:val="1F3864" w:themeColor="accent5" w:themeShade="80"/>
                <w:sz w:val="24"/>
                <w:szCs w:val="24"/>
              </w:rPr>
              <w:t xml:space="preserve">Pupils start with trying to understand the concept of God before them applying this knowledge to the other ultimate questions posed in the unit. These also help prepare for the GCSE. </w:t>
            </w:r>
            <w:r w:rsidR="002A773F" w:rsidRPr="002A773F">
              <w:rPr>
                <w:rFonts w:ascii="Gadugi" w:hAnsi="Gadugi" w:cs="Arial"/>
                <w:color w:val="1F3864" w:themeColor="accent5" w:themeShade="80"/>
                <w:sz w:val="24"/>
                <w:szCs w:val="24"/>
              </w:rPr>
              <w:t xml:space="preserve"> </w:t>
            </w:r>
          </w:p>
        </w:tc>
        <w:tc>
          <w:tcPr>
            <w:tcW w:w="3767" w:type="dxa"/>
            <w:tcBorders>
              <w:top w:val="single" w:sz="4" w:space="0" w:color="auto"/>
              <w:left w:val="single" w:sz="4" w:space="0" w:color="auto"/>
              <w:bottom w:val="single" w:sz="4" w:space="0" w:color="auto"/>
              <w:right w:val="single" w:sz="4" w:space="0" w:color="auto"/>
            </w:tcBorders>
          </w:tcPr>
          <w:p w14:paraId="223FAB7E" w14:textId="77777777" w:rsidR="00D01A75" w:rsidRPr="002A773F" w:rsidRDefault="00D01A75" w:rsidP="00D01A75">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w:t>
            </w:r>
            <w:r>
              <w:rPr>
                <w:rFonts w:ascii="Gadugi" w:hAnsi="Gadugi" w:cs="Arial"/>
                <w:color w:val="1F3864" w:themeColor="accent5" w:themeShade="80"/>
                <w:sz w:val="24"/>
                <w:szCs w:val="24"/>
              </w:rPr>
              <w:t>do-now</w:t>
            </w:r>
            <w:r w:rsidRPr="002A773F">
              <w:rPr>
                <w:rFonts w:ascii="Gadugi" w:hAnsi="Gadugi" w:cs="Arial"/>
                <w:color w:val="1F3864" w:themeColor="accent5" w:themeShade="80"/>
                <w:sz w:val="24"/>
                <w:szCs w:val="24"/>
              </w:rPr>
              <w:t xml:space="preserve"> slide has key vocab for the lesson on it and this is also provided on a glossary sheet. </w:t>
            </w:r>
          </w:p>
          <w:p w14:paraId="29722E22" w14:textId="77777777" w:rsidR="002A773F" w:rsidRPr="002A773F" w:rsidRDefault="002A773F" w:rsidP="002A773F">
            <w:pPr>
              <w:rPr>
                <w:rFonts w:ascii="Gadugi" w:hAnsi="Gadugi" w:cs="Arial"/>
                <w:color w:val="1F3864" w:themeColor="accent5" w:themeShade="80"/>
                <w:sz w:val="24"/>
                <w:szCs w:val="24"/>
              </w:rPr>
            </w:pPr>
          </w:p>
          <w:p w14:paraId="0581D063" w14:textId="4D9106A5" w:rsidR="002A773F" w:rsidRPr="002A773F" w:rsidRDefault="003F27EF"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Oracy – each lesson allows for a whole class discussion or a turn and talk activity to be built in. </w:t>
            </w:r>
          </w:p>
        </w:tc>
      </w:tr>
      <w:tr w:rsidR="002A773F" w:rsidRPr="00C37102" w14:paraId="1ABFFCFC" w14:textId="77777777" w:rsidTr="003A1F86">
        <w:trPr>
          <w:trHeight w:val="3388"/>
        </w:trPr>
        <w:tc>
          <w:tcPr>
            <w:tcW w:w="1271" w:type="dxa"/>
          </w:tcPr>
          <w:p w14:paraId="7AE628E2" w14:textId="61DD0F7C" w:rsidR="002A773F" w:rsidRPr="002A773F" w:rsidRDefault="002A773F" w:rsidP="002A773F">
            <w:pPr>
              <w:jc w:val="cente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lastRenderedPageBreak/>
              <w:t>Summer Term</w:t>
            </w:r>
            <w:r>
              <w:rPr>
                <w:rFonts w:ascii="Gadugi" w:hAnsi="Gadugi" w:cs="Arial"/>
                <w:color w:val="1F3864" w:themeColor="accent5" w:themeShade="80"/>
                <w:sz w:val="24"/>
                <w:szCs w:val="24"/>
              </w:rPr>
              <w:t xml:space="preserve"> – Half Term 5 and 6</w:t>
            </w:r>
          </w:p>
        </w:tc>
        <w:tc>
          <w:tcPr>
            <w:tcW w:w="2972" w:type="dxa"/>
            <w:tcBorders>
              <w:top w:val="single" w:sz="4" w:space="0" w:color="auto"/>
              <w:left w:val="single" w:sz="4" w:space="0" w:color="auto"/>
              <w:bottom w:val="single" w:sz="4" w:space="0" w:color="auto"/>
              <w:right w:val="single" w:sz="4" w:space="0" w:color="auto"/>
            </w:tcBorders>
          </w:tcPr>
          <w:p w14:paraId="3B20B700" w14:textId="5E13FEBB" w:rsidR="002A773F" w:rsidRPr="002A773F" w:rsidRDefault="00391C93" w:rsidP="002A773F">
            <w:pPr>
              <w:rPr>
                <w:rFonts w:ascii="Gadugi" w:hAnsi="Gadugi" w:cs="Arial"/>
                <w:b/>
                <w:color w:val="1F3864" w:themeColor="accent5" w:themeShade="80"/>
                <w:sz w:val="24"/>
                <w:szCs w:val="24"/>
              </w:rPr>
            </w:pPr>
            <w:r>
              <w:rPr>
                <w:rFonts w:ascii="Gadugi" w:hAnsi="Gadugi" w:cs="Arial"/>
                <w:b/>
                <w:color w:val="1F3864" w:themeColor="accent5" w:themeShade="80"/>
                <w:sz w:val="24"/>
                <w:szCs w:val="24"/>
              </w:rPr>
              <w:t xml:space="preserve">Religious Experiences – are they real? </w:t>
            </w:r>
          </w:p>
          <w:p w14:paraId="71194B78" w14:textId="77777777" w:rsidR="002A773F" w:rsidRPr="002A773F" w:rsidRDefault="002A773F" w:rsidP="002A773F">
            <w:pPr>
              <w:rPr>
                <w:rFonts w:ascii="Gadugi" w:hAnsi="Gadugi" w:cs="Arial"/>
                <w:color w:val="1F3864" w:themeColor="accent5" w:themeShade="80"/>
                <w:sz w:val="24"/>
                <w:szCs w:val="24"/>
              </w:rPr>
            </w:pPr>
          </w:p>
          <w:p w14:paraId="2DDA2C28" w14:textId="77777777" w:rsidR="002A77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Spectrum of Belief</w:t>
            </w:r>
          </w:p>
          <w:p w14:paraId="7ADB29B8"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Revelation </w:t>
            </w:r>
          </w:p>
          <w:p w14:paraId="4235BC8A"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Conversion </w:t>
            </w:r>
          </w:p>
          <w:p w14:paraId="49219DC6"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Gram Seed </w:t>
            </w:r>
          </w:p>
          <w:p w14:paraId="4506173B"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Ian Mc – Jellyfish Man</w:t>
            </w:r>
          </w:p>
          <w:p w14:paraId="209DC5EF"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Reincarnation</w:t>
            </w:r>
          </w:p>
          <w:p w14:paraId="18613044"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Cameron – Reincarnation Case Study </w:t>
            </w:r>
          </w:p>
          <w:p w14:paraId="06A92B55"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Unanswered Prayers</w:t>
            </w:r>
          </w:p>
          <w:p w14:paraId="1CD8EA9B" w14:textId="77777777" w:rsidR="00975D3F" w:rsidRDefault="00975D3F" w:rsidP="00391C93">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Miracles </w:t>
            </w:r>
          </w:p>
          <w:p w14:paraId="6ABB70F1" w14:textId="635A5E1A" w:rsidR="00975D3F" w:rsidRPr="00391C93" w:rsidRDefault="00975D3F" w:rsidP="00391C93">
            <w:pPr>
              <w:rPr>
                <w:rFonts w:ascii="Gadugi" w:hAnsi="Gadugi" w:cs="Arial"/>
                <w:color w:val="1F3864" w:themeColor="accent5" w:themeShade="80"/>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8FF6FDA" w14:textId="2E337541" w:rsidR="002A773F" w:rsidRPr="002A773F" w:rsidRDefault="00DF6DE2"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Knowledge of this is checked with Knowledge</w:t>
            </w:r>
            <w:r>
              <w:rPr>
                <w:rFonts w:ascii="Gadugi" w:hAnsi="Gadugi" w:cs="Arial"/>
                <w:color w:val="1F3864" w:themeColor="accent5" w:themeShade="80"/>
                <w:sz w:val="24"/>
                <w:szCs w:val="24"/>
              </w:rPr>
              <w:t xml:space="preserve"> Checks at various intervals throughout the unit. </w:t>
            </w:r>
          </w:p>
          <w:p w14:paraId="2A72E9A5" w14:textId="77777777" w:rsidR="002A773F" w:rsidRPr="002A773F" w:rsidRDefault="002A773F" w:rsidP="002A773F">
            <w:pPr>
              <w:rPr>
                <w:rFonts w:ascii="Gadugi" w:hAnsi="Gadugi" w:cs="Arial"/>
                <w:color w:val="1F3864" w:themeColor="accent5" w:themeShade="80"/>
                <w:sz w:val="24"/>
                <w:szCs w:val="24"/>
              </w:rPr>
            </w:pPr>
          </w:p>
          <w:p w14:paraId="33E8BDB8" w14:textId="157A248D" w:rsidR="002A773F" w:rsidRPr="002A773F" w:rsidRDefault="002A773F" w:rsidP="00DF6DE2">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Pupils will complete their KSA in RS in half term 5. </w:t>
            </w:r>
          </w:p>
        </w:tc>
        <w:tc>
          <w:tcPr>
            <w:tcW w:w="4394" w:type="dxa"/>
            <w:tcBorders>
              <w:top w:val="single" w:sz="4" w:space="0" w:color="auto"/>
              <w:left w:val="single" w:sz="4" w:space="0" w:color="auto"/>
              <w:bottom w:val="single" w:sz="4" w:space="0" w:color="auto"/>
              <w:right w:val="single" w:sz="4" w:space="0" w:color="auto"/>
            </w:tcBorders>
          </w:tcPr>
          <w:p w14:paraId="02C31277" w14:textId="0B186EAB" w:rsidR="002A773F" w:rsidRPr="002A773F" w:rsidRDefault="002A773F" w:rsidP="00D8178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This unit of work </w:t>
            </w:r>
            <w:r w:rsidR="00D8178F">
              <w:rPr>
                <w:rFonts w:ascii="Gadugi" w:hAnsi="Gadugi" w:cs="Arial"/>
                <w:color w:val="1F3864" w:themeColor="accent5" w:themeShade="80"/>
                <w:sz w:val="24"/>
                <w:szCs w:val="24"/>
              </w:rPr>
              <w:t xml:space="preserve">is built around pupils being able to assess the validity of certain religious experiences from the foundation of knowledge they have received throughout their KS3 RS learning. </w:t>
            </w:r>
            <w:r w:rsidR="00FB6E42">
              <w:rPr>
                <w:rFonts w:ascii="Gadugi" w:hAnsi="Gadugi" w:cs="Arial"/>
                <w:color w:val="1F3864" w:themeColor="accent5" w:themeShade="80"/>
                <w:sz w:val="24"/>
                <w:szCs w:val="24"/>
              </w:rPr>
              <w:t xml:space="preserve">Pupils start with looking at the spectrum of belief to re-cap and go further into detail around agnosticism and atheism/theism – this then ensures they have a solid understanding before looking at how these beliefs can be changed due to the variety of experiences then covered in the rest of the unit. </w:t>
            </w:r>
          </w:p>
        </w:tc>
        <w:tc>
          <w:tcPr>
            <w:tcW w:w="3767" w:type="dxa"/>
            <w:tcBorders>
              <w:top w:val="single" w:sz="4" w:space="0" w:color="auto"/>
              <w:left w:val="single" w:sz="4" w:space="0" w:color="auto"/>
              <w:bottom w:val="single" w:sz="4" w:space="0" w:color="auto"/>
              <w:right w:val="single" w:sz="4" w:space="0" w:color="auto"/>
            </w:tcBorders>
          </w:tcPr>
          <w:p w14:paraId="704800C2"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starter/recall slide has key vocab for the lesson on it and this is also provided on a glossary sheet. </w:t>
            </w:r>
          </w:p>
          <w:p w14:paraId="1551FC5A" w14:textId="77777777" w:rsidR="002A773F" w:rsidRPr="002A773F" w:rsidRDefault="002A773F" w:rsidP="002A773F">
            <w:pPr>
              <w:rPr>
                <w:rFonts w:ascii="Gadugi" w:hAnsi="Gadugi" w:cs="Arial"/>
                <w:color w:val="1F3864" w:themeColor="accent5" w:themeShade="80"/>
                <w:sz w:val="24"/>
                <w:szCs w:val="24"/>
              </w:rPr>
            </w:pPr>
          </w:p>
          <w:p w14:paraId="054AD580" w14:textId="77777777" w:rsidR="002A773F" w:rsidRPr="002A773F" w:rsidRDefault="002A773F" w:rsidP="002A773F">
            <w:pPr>
              <w:rPr>
                <w:rFonts w:ascii="Gadugi" w:hAnsi="Gadugi" w:cs="Arial"/>
                <w:color w:val="1F3864" w:themeColor="accent5" w:themeShade="80"/>
                <w:sz w:val="24"/>
                <w:szCs w:val="24"/>
              </w:rPr>
            </w:pPr>
          </w:p>
          <w:p w14:paraId="10A811CF" w14:textId="1A07D718" w:rsidR="002A773F" w:rsidRPr="002A773F" w:rsidRDefault="00975D3F" w:rsidP="002A773F">
            <w:pPr>
              <w:rPr>
                <w:rFonts w:ascii="Gadugi" w:hAnsi="Gadugi" w:cs="Arial"/>
                <w:color w:val="1F3864" w:themeColor="accent5" w:themeShade="80"/>
                <w:sz w:val="24"/>
                <w:szCs w:val="24"/>
                <w:highlight w:val="yellow"/>
              </w:rPr>
            </w:pPr>
            <w:r>
              <w:rPr>
                <w:rFonts w:ascii="Gadugi" w:hAnsi="Gadugi" w:cs="Arial"/>
                <w:color w:val="1F3864" w:themeColor="accent5" w:themeShade="80"/>
                <w:sz w:val="24"/>
                <w:szCs w:val="24"/>
                <w:highlight w:val="yellow"/>
              </w:rPr>
              <w:t xml:space="preserve">Oracy – built in around reincarnation and miracles </w:t>
            </w:r>
            <w:r w:rsidR="002A773F" w:rsidRPr="002A773F">
              <w:rPr>
                <w:rFonts w:ascii="Gadugi" w:hAnsi="Gadugi" w:cs="Arial"/>
                <w:color w:val="1F3864" w:themeColor="accent5" w:themeShade="80"/>
                <w:sz w:val="24"/>
                <w:szCs w:val="24"/>
              </w:rPr>
              <w:t xml:space="preserve"> </w:t>
            </w:r>
          </w:p>
        </w:tc>
      </w:tr>
    </w:tbl>
    <w:p w14:paraId="620048CE" w14:textId="63636A18" w:rsidR="00AC056B" w:rsidRPr="00C37102" w:rsidRDefault="00AC056B" w:rsidP="008409BB">
      <w:pPr>
        <w:spacing w:line="276" w:lineRule="auto"/>
        <w:rPr>
          <w:rFonts w:ascii="Gadugi" w:hAnsi="Gadugi" w:cstheme="majorHAnsi"/>
          <w:b/>
          <w:sz w:val="20"/>
          <w:szCs w:val="20"/>
        </w:rPr>
      </w:pPr>
    </w:p>
    <w:sectPr w:rsidR="00AC056B" w:rsidRPr="00C37102"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CD4E8" w14:textId="77777777" w:rsidR="009E5443" w:rsidRDefault="009E5443" w:rsidP="00A2239D">
      <w:pPr>
        <w:spacing w:after="0" w:line="240" w:lineRule="auto"/>
      </w:pPr>
      <w:r>
        <w:separator/>
      </w:r>
    </w:p>
  </w:endnote>
  <w:endnote w:type="continuationSeparator" w:id="0">
    <w:p w14:paraId="15D1D480" w14:textId="77777777" w:rsidR="009E5443" w:rsidRDefault="009E5443"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9DFDF" w14:textId="77777777" w:rsidR="009E5443" w:rsidRDefault="009E5443" w:rsidP="00A2239D">
      <w:pPr>
        <w:spacing w:after="0" w:line="240" w:lineRule="auto"/>
      </w:pPr>
      <w:r>
        <w:separator/>
      </w:r>
    </w:p>
  </w:footnote>
  <w:footnote w:type="continuationSeparator" w:id="0">
    <w:p w14:paraId="56A71C5B" w14:textId="77777777" w:rsidR="009E5443" w:rsidRDefault="009E5443"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487434"/>
    <w:multiLevelType w:val="hybridMultilevel"/>
    <w:tmpl w:val="A25E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5691C"/>
    <w:multiLevelType w:val="hybridMultilevel"/>
    <w:tmpl w:val="40D0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8"/>
  </w:num>
  <w:num w:numId="4">
    <w:abstractNumId w:val="3"/>
  </w:num>
  <w:num w:numId="5">
    <w:abstractNumId w:val="14"/>
  </w:num>
  <w:num w:numId="6">
    <w:abstractNumId w:val="9"/>
  </w:num>
  <w:num w:numId="7">
    <w:abstractNumId w:val="5"/>
  </w:num>
  <w:num w:numId="8">
    <w:abstractNumId w:val="15"/>
  </w:num>
  <w:num w:numId="9">
    <w:abstractNumId w:val="11"/>
  </w:num>
  <w:num w:numId="10">
    <w:abstractNumId w:val="0"/>
  </w:num>
  <w:num w:numId="11">
    <w:abstractNumId w:val="8"/>
  </w:num>
  <w:num w:numId="12">
    <w:abstractNumId w:val="4"/>
  </w:num>
  <w:num w:numId="13">
    <w:abstractNumId w:val="10"/>
  </w:num>
  <w:num w:numId="14">
    <w:abstractNumId w:val="2"/>
  </w:num>
  <w:num w:numId="15">
    <w:abstractNumId w:val="19"/>
  </w:num>
  <w:num w:numId="16">
    <w:abstractNumId w:val="1"/>
  </w:num>
  <w:num w:numId="17">
    <w:abstractNumId w:val="17"/>
  </w:num>
  <w:num w:numId="18">
    <w:abstractNumId w:val="13"/>
  </w:num>
  <w:num w:numId="19">
    <w:abstractNumId w:val="16"/>
  </w:num>
  <w:num w:numId="2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4855"/>
    <w:rsid w:val="0008645E"/>
    <w:rsid w:val="00092180"/>
    <w:rsid w:val="000A285E"/>
    <w:rsid w:val="000B0B64"/>
    <w:rsid w:val="000B60FD"/>
    <w:rsid w:val="000D3E6D"/>
    <w:rsid w:val="000E09D4"/>
    <w:rsid w:val="000F19C3"/>
    <w:rsid w:val="000F6979"/>
    <w:rsid w:val="001041D0"/>
    <w:rsid w:val="00110668"/>
    <w:rsid w:val="0011374B"/>
    <w:rsid w:val="0012331A"/>
    <w:rsid w:val="00146AA9"/>
    <w:rsid w:val="00146B87"/>
    <w:rsid w:val="00147B3E"/>
    <w:rsid w:val="00174A2E"/>
    <w:rsid w:val="001E4F8D"/>
    <w:rsid w:val="001F00D2"/>
    <w:rsid w:val="001F1F0C"/>
    <w:rsid w:val="002335D5"/>
    <w:rsid w:val="00234B8E"/>
    <w:rsid w:val="002364A2"/>
    <w:rsid w:val="0024473E"/>
    <w:rsid w:val="002546B1"/>
    <w:rsid w:val="00264601"/>
    <w:rsid w:val="00267249"/>
    <w:rsid w:val="00274194"/>
    <w:rsid w:val="00294A33"/>
    <w:rsid w:val="002A1F1D"/>
    <w:rsid w:val="002A58FD"/>
    <w:rsid w:val="002A773F"/>
    <w:rsid w:val="002D788A"/>
    <w:rsid w:val="00344FC8"/>
    <w:rsid w:val="00365574"/>
    <w:rsid w:val="00366E0F"/>
    <w:rsid w:val="0037283A"/>
    <w:rsid w:val="003813FE"/>
    <w:rsid w:val="0038624B"/>
    <w:rsid w:val="00391C93"/>
    <w:rsid w:val="003A6942"/>
    <w:rsid w:val="003A7E29"/>
    <w:rsid w:val="003B3744"/>
    <w:rsid w:val="003D0A50"/>
    <w:rsid w:val="003D536E"/>
    <w:rsid w:val="003E21F0"/>
    <w:rsid w:val="003F27EF"/>
    <w:rsid w:val="00417D9D"/>
    <w:rsid w:val="00454F4C"/>
    <w:rsid w:val="00491925"/>
    <w:rsid w:val="004A2B06"/>
    <w:rsid w:val="004C0806"/>
    <w:rsid w:val="004C21E6"/>
    <w:rsid w:val="004D70D0"/>
    <w:rsid w:val="004D7492"/>
    <w:rsid w:val="004F0F4E"/>
    <w:rsid w:val="005B4500"/>
    <w:rsid w:val="005C728D"/>
    <w:rsid w:val="005F4B6A"/>
    <w:rsid w:val="0063116B"/>
    <w:rsid w:val="0066650C"/>
    <w:rsid w:val="00697425"/>
    <w:rsid w:val="006A3BBD"/>
    <w:rsid w:val="006A5BDA"/>
    <w:rsid w:val="006B08D8"/>
    <w:rsid w:val="006C11A7"/>
    <w:rsid w:val="006D71DA"/>
    <w:rsid w:val="006D77ED"/>
    <w:rsid w:val="006F6894"/>
    <w:rsid w:val="007003D0"/>
    <w:rsid w:val="00736153"/>
    <w:rsid w:val="00761EB0"/>
    <w:rsid w:val="00774515"/>
    <w:rsid w:val="0078152C"/>
    <w:rsid w:val="00790383"/>
    <w:rsid w:val="007D6C68"/>
    <w:rsid w:val="00811F90"/>
    <w:rsid w:val="00814AA1"/>
    <w:rsid w:val="0083196D"/>
    <w:rsid w:val="008325F6"/>
    <w:rsid w:val="0083429E"/>
    <w:rsid w:val="0083695F"/>
    <w:rsid w:val="008406A0"/>
    <w:rsid w:val="008409BB"/>
    <w:rsid w:val="0085456E"/>
    <w:rsid w:val="0085624D"/>
    <w:rsid w:val="008604D1"/>
    <w:rsid w:val="0087279D"/>
    <w:rsid w:val="00872A0E"/>
    <w:rsid w:val="008C69C6"/>
    <w:rsid w:val="008D2021"/>
    <w:rsid w:val="008F07B2"/>
    <w:rsid w:val="008F25A2"/>
    <w:rsid w:val="009316F7"/>
    <w:rsid w:val="009543C0"/>
    <w:rsid w:val="0095781B"/>
    <w:rsid w:val="00964BBE"/>
    <w:rsid w:val="009742D2"/>
    <w:rsid w:val="00975D3F"/>
    <w:rsid w:val="0098350A"/>
    <w:rsid w:val="009C615C"/>
    <w:rsid w:val="009E5443"/>
    <w:rsid w:val="00A2239D"/>
    <w:rsid w:val="00A2784D"/>
    <w:rsid w:val="00AB601B"/>
    <w:rsid w:val="00AC056B"/>
    <w:rsid w:val="00AD0018"/>
    <w:rsid w:val="00AE33C0"/>
    <w:rsid w:val="00AE4628"/>
    <w:rsid w:val="00AE6C8C"/>
    <w:rsid w:val="00B0340B"/>
    <w:rsid w:val="00B075A9"/>
    <w:rsid w:val="00B166A6"/>
    <w:rsid w:val="00B23FBB"/>
    <w:rsid w:val="00B24FCC"/>
    <w:rsid w:val="00B31D40"/>
    <w:rsid w:val="00B62A71"/>
    <w:rsid w:val="00B62AF8"/>
    <w:rsid w:val="00BB1BEE"/>
    <w:rsid w:val="00BC04B5"/>
    <w:rsid w:val="00C006F8"/>
    <w:rsid w:val="00C37102"/>
    <w:rsid w:val="00C549B7"/>
    <w:rsid w:val="00C76D2E"/>
    <w:rsid w:val="00C86706"/>
    <w:rsid w:val="00C96F61"/>
    <w:rsid w:val="00CB5E3E"/>
    <w:rsid w:val="00CC077A"/>
    <w:rsid w:val="00CC3D41"/>
    <w:rsid w:val="00CD02FA"/>
    <w:rsid w:val="00CD2200"/>
    <w:rsid w:val="00CE5254"/>
    <w:rsid w:val="00D01A75"/>
    <w:rsid w:val="00D16D06"/>
    <w:rsid w:val="00D33B94"/>
    <w:rsid w:val="00D567C9"/>
    <w:rsid w:val="00D57080"/>
    <w:rsid w:val="00D8178F"/>
    <w:rsid w:val="00D871D1"/>
    <w:rsid w:val="00DA50C9"/>
    <w:rsid w:val="00DE6A97"/>
    <w:rsid w:val="00DF2D80"/>
    <w:rsid w:val="00DF6DE2"/>
    <w:rsid w:val="00E07B5A"/>
    <w:rsid w:val="00E267B0"/>
    <w:rsid w:val="00E33E52"/>
    <w:rsid w:val="00E4151F"/>
    <w:rsid w:val="00E45332"/>
    <w:rsid w:val="00E6652D"/>
    <w:rsid w:val="00E83325"/>
    <w:rsid w:val="00E83A73"/>
    <w:rsid w:val="00E9009F"/>
    <w:rsid w:val="00EA7567"/>
    <w:rsid w:val="00EB11D6"/>
    <w:rsid w:val="00EB151C"/>
    <w:rsid w:val="00EB284A"/>
    <w:rsid w:val="00EB62ED"/>
    <w:rsid w:val="00EC7F62"/>
    <w:rsid w:val="00EE58DF"/>
    <w:rsid w:val="00F23277"/>
    <w:rsid w:val="00F37C1C"/>
    <w:rsid w:val="00F63643"/>
    <w:rsid w:val="00FA74A0"/>
    <w:rsid w:val="00FB2329"/>
    <w:rsid w:val="00FB6E4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2037B-5660-49C5-8A25-37D0AAC75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RE - Miss Lewis</cp:lastModifiedBy>
  <cp:revision>48</cp:revision>
  <cp:lastPrinted>2022-12-06T07:20:00Z</cp:lastPrinted>
  <dcterms:created xsi:type="dcterms:W3CDTF">2024-08-02T08:58:00Z</dcterms:created>
  <dcterms:modified xsi:type="dcterms:W3CDTF">2026-09-29T10:12:00Z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