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04B4E" w14:textId="138D58EA" w:rsidR="001E3F59" w:rsidRPr="000B60FD" w:rsidRDefault="001E3F59" w:rsidP="001E3F59">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60288" behindDoc="0" locked="0" layoutInCell="1" allowOverlap="1" wp14:anchorId="55CDA3B0" wp14:editId="1969DFEC">
            <wp:simplePos x="0" y="0"/>
            <wp:positionH relativeFrom="margin">
              <wp:posOffset>8255</wp:posOffset>
            </wp:positionH>
            <wp:positionV relativeFrom="paragraph">
              <wp:posOffset>-58420</wp:posOffset>
            </wp:positionV>
            <wp:extent cx="1343786" cy="409433"/>
            <wp:effectExtent l="0" t="0" r="0" b="0"/>
            <wp:wrapNone/>
            <wp:docPr id="145724011" name="Picture 14572401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011" name="Picture 145724011" descr="A blue and white logo&#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Pr="000B60FD">
        <w:rPr>
          <w:rFonts w:ascii="Gadugi" w:hAnsi="Gadugi" w:cs="Arial"/>
          <w:b/>
          <w:color w:val="06486F"/>
          <w:sz w:val="32"/>
          <w:szCs w:val="32"/>
        </w:rPr>
        <w:t xml:space="preserve"> </w:t>
      </w:r>
      <w:r w:rsidR="00525E1A">
        <w:rPr>
          <w:rFonts w:ascii="Gadugi" w:hAnsi="Gadugi" w:cs="Arial"/>
          <w:b/>
          <w:color w:val="06486F"/>
          <w:sz w:val="32"/>
          <w:szCs w:val="32"/>
        </w:rPr>
        <w:t>GCSE Food Preparation &amp; Nutrition</w:t>
      </w:r>
      <w:r>
        <w:rPr>
          <w:rFonts w:ascii="Gadugi" w:hAnsi="Gadugi" w:cs="Arial"/>
          <w:b/>
          <w:color w:val="06486F"/>
          <w:sz w:val="32"/>
          <w:szCs w:val="32"/>
        </w:rPr>
        <w:t xml:space="preserve"> </w:t>
      </w:r>
      <w:r w:rsidRPr="000B60FD">
        <w:rPr>
          <w:rFonts w:ascii="Gadugi" w:hAnsi="Gadugi" w:cs="Arial"/>
          <w:b/>
          <w:color w:val="06486F"/>
          <w:sz w:val="32"/>
          <w:szCs w:val="32"/>
        </w:rPr>
        <w:t>– Year</w:t>
      </w:r>
      <w:r w:rsidR="00525E1A">
        <w:rPr>
          <w:rFonts w:ascii="Gadugi" w:hAnsi="Gadugi" w:cs="Arial"/>
          <w:b/>
          <w:color w:val="06486F"/>
          <w:sz w:val="32"/>
          <w:szCs w:val="32"/>
        </w:rPr>
        <w:t xml:space="preserve"> 10</w:t>
      </w:r>
      <w:r w:rsidRPr="000B60FD">
        <w:rPr>
          <w:rFonts w:ascii="Gadugi" w:hAnsi="Gadugi" w:cs="Arial"/>
          <w:b/>
          <w:color w:val="06486F"/>
          <w:sz w:val="32"/>
          <w:szCs w:val="32"/>
        </w:rPr>
        <w:t xml:space="preserve">       </w:t>
      </w:r>
      <w:r w:rsidRPr="000B60FD">
        <w:rPr>
          <w:rFonts w:ascii="Gadugi" w:hAnsi="Gadugi" w:cs="Arial"/>
          <w:b/>
          <w:color w:val="06486F"/>
          <w:sz w:val="32"/>
          <w:szCs w:val="32"/>
        </w:rPr>
        <w:tab/>
        <w:t xml:space="preserve">         Long-Term Plan 202</w:t>
      </w:r>
      <w:r w:rsidR="00B949FF">
        <w:rPr>
          <w:rFonts w:ascii="Gadugi" w:hAnsi="Gadugi" w:cs="Arial"/>
          <w:b/>
          <w:color w:val="06486F"/>
          <w:sz w:val="32"/>
          <w:szCs w:val="32"/>
        </w:rPr>
        <w:t>5</w:t>
      </w:r>
      <w:r w:rsidRPr="000B60FD">
        <w:rPr>
          <w:rFonts w:ascii="Gadugi" w:hAnsi="Gadugi" w:cs="Arial"/>
          <w:b/>
          <w:color w:val="06486F"/>
          <w:sz w:val="32"/>
          <w:szCs w:val="32"/>
        </w:rPr>
        <w:t>-202</w:t>
      </w:r>
      <w:r w:rsidR="00B949FF">
        <w:rPr>
          <w:rFonts w:ascii="Gadugi" w:hAnsi="Gadugi" w:cs="Arial"/>
          <w:b/>
          <w:color w:val="06486F"/>
          <w:sz w:val="32"/>
          <w:szCs w:val="32"/>
        </w:rPr>
        <w:t>6</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1E3F59" w:rsidRPr="00344FC8" w14:paraId="4BAC7EC4" w14:textId="77777777" w:rsidTr="00940775">
        <w:trPr>
          <w:trHeight w:val="744"/>
        </w:trPr>
        <w:tc>
          <w:tcPr>
            <w:tcW w:w="1271" w:type="dxa"/>
            <w:shd w:val="clear" w:color="auto" w:fill="06486F"/>
            <w:vAlign w:val="center"/>
          </w:tcPr>
          <w:p w14:paraId="0335D192" w14:textId="77777777" w:rsidR="001E3F59" w:rsidRPr="000B60FD" w:rsidRDefault="001E3F59"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42B58689" w14:textId="77777777" w:rsidR="001E3F59" w:rsidRPr="000B60FD" w:rsidRDefault="001E3F59"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48F70DF6" w14:textId="77777777" w:rsidR="001E3F59" w:rsidRPr="000B60FD" w:rsidRDefault="001E3F59" w:rsidP="00940775">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8DF7F31" w14:textId="77777777" w:rsidR="001E3F59" w:rsidRPr="000B60FD" w:rsidRDefault="001E3F59" w:rsidP="00940775">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411F5910" w14:textId="77777777" w:rsidR="001E3F59" w:rsidRPr="000B60FD" w:rsidRDefault="001E3F59"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620" w:type="dxa"/>
            <w:shd w:val="clear" w:color="auto" w:fill="06486F"/>
            <w:vAlign w:val="center"/>
          </w:tcPr>
          <w:p w14:paraId="6AA8819E" w14:textId="77777777" w:rsidR="001E3F59" w:rsidRPr="000B60FD" w:rsidRDefault="001E3F59"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5D817D30" w14:textId="77777777" w:rsidR="001E3F59" w:rsidRPr="000B60FD" w:rsidRDefault="001E3F59"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reading - vocabulary - oracy - writing</w:t>
            </w:r>
          </w:p>
        </w:tc>
      </w:tr>
      <w:tr w:rsidR="00B63C82" w:rsidRPr="00344FC8" w14:paraId="0B300F54" w14:textId="77777777" w:rsidTr="00940775">
        <w:trPr>
          <w:trHeight w:val="2743"/>
        </w:trPr>
        <w:tc>
          <w:tcPr>
            <w:tcW w:w="1271" w:type="dxa"/>
            <w:vAlign w:val="center"/>
          </w:tcPr>
          <w:p w14:paraId="3388075C" w14:textId="77777777" w:rsidR="00B63C82" w:rsidRPr="00F00CB3" w:rsidRDefault="00B63C82" w:rsidP="00B63C82">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Autumn</w:t>
            </w:r>
            <w:r w:rsidRPr="00F00CB3">
              <w:rPr>
                <w:rFonts w:ascii="Gadugi" w:hAnsi="Gadugi" w:cs="Arial"/>
                <w:b/>
                <w:bCs/>
                <w:color w:val="1F3864" w:themeColor="accent5" w:themeShade="80"/>
                <w:sz w:val="24"/>
                <w:szCs w:val="24"/>
              </w:rPr>
              <w:br/>
            </w:r>
            <w:r w:rsidRPr="00F00CB3">
              <w:rPr>
                <w:rFonts w:ascii="Gadugi" w:hAnsi="Gadugi" w:cs="Arial"/>
                <w:b/>
                <w:bCs/>
                <w:color w:val="1F3864" w:themeColor="accent5" w:themeShade="80"/>
                <w:sz w:val="24"/>
                <w:szCs w:val="24"/>
              </w:rPr>
              <w:br/>
              <w:t>Half Term 1</w:t>
            </w:r>
          </w:p>
        </w:tc>
        <w:tc>
          <w:tcPr>
            <w:tcW w:w="3544" w:type="dxa"/>
          </w:tcPr>
          <w:p w14:paraId="60A0E498" w14:textId="77777777" w:rsidR="00B63C82" w:rsidRPr="00F00CB3" w:rsidRDefault="00B63C82" w:rsidP="00B63C82">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Nutrition</w:t>
            </w:r>
          </w:p>
          <w:p w14:paraId="176E9402" w14:textId="7777777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Macronutrients</w:t>
            </w:r>
          </w:p>
          <w:p w14:paraId="27AA6571" w14:textId="77777777" w:rsidR="00B949FF"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Micronutrients</w:t>
            </w:r>
          </w:p>
          <w:p w14:paraId="601878C5" w14:textId="7F66D94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rPr>
              <w:t>Water</w:t>
            </w:r>
          </w:p>
        </w:tc>
        <w:tc>
          <w:tcPr>
            <w:tcW w:w="3544" w:type="dxa"/>
          </w:tcPr>
          <w:p w14:paraId="1843A0A3"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Practical work is assessed on an ongoing basis as pupils develop their skills throughout the course</w:t>
            </w:r>
          </w:p>
          <w:p w14:paraId="75765C56" w14:textId="77777777" w:rsidR="00B63C82" w:rsidRPr="00F00CB3" w:rsidRDefault="00B63C82" w:rsidP="00B63C82">
            <w:pPr>
              <w:rPr>
                <w:rFonts w:ascii="Arial" w:hAnsi="Arial" w:cs="Arial"/>
                <w:color w:val="1F3864" w:themeColor="accent5" w:themeShade="80"/>
              </w:rPr>
            </w:pPr>
          </w:p>
          <w:p w14:paraId="58C14840"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 xml:space="preserve">In class assessment includes quick </w:t>
            </w:r>
            <w:proofErr w:type="gramStart"/>
            <w:r w:rsidRPr="00F00CB3">
              <w:rPr>
                <w:rFonts w:ascii="Arial" w:hAnsi="Arial" w:cs="Arial"/>
                <w:color w:val="1F3864" w:themeColor="accent5" w:themeShade="80"/>
              </w:rPr>
              <w:t>multiple choice</w:t>
            </w:r>
            <w:proofErr w:type="gramEnd"/>
            <w:r w:rsidRPr="00F00CB3">
              <w:rPr>
                <w:rFonts w:ascii="Arial" w:hAnsi="Arial" w:cs="Arial"/>
                <w:color w:val="1F3864" w:themeColor="accent5" w:themeShade="80"/>
              </w:rPr>
              <w:t xml:space="preserve"> quizzes and longer answer exam questions.</w:t>
            </w:r>
          </w:p>
          <w:p w14:paraId="09FDA694" w14:textId="77777777" w:rsidR="00B63C82" w:rsidRPr="00F00CB3" w:rsidRDefault="00B63C82" w:rsidP="00B63C82">
            <w:pPr>
              <w:rPr>
                <w:rFonts w:ascii="Arial" w:hAnsi="Arial" w:cs="Arial"/>
                <w:color w:val="1F3864" w:themeColor="accent5" w:themeShade="80"/>
              </w:rPr>
            </w:pPr>
          </w:p>
          <w:p w14:paraId="62EC41BF"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At the end of each unit pupils are given a formal written test</w:t>
            </w:r>
          </w:p>
          <w:p w14:paraId="1CA32F41" w14:textId="77777777" w:rsidR="00B63C82" w:rsidRPr="00F00CB3" w:rsidRDefault="00B63C82" w:rsidP="00B63C82">
            <w:pPr>
              <w:rPr>
                <w:rFonts w:ascii="Arial" w:hAnsi="Arial" w:cs="Arial"/>
                <w:color w:val="1F3864" w:themeColor="accent5" w:themeShade="80"/>
              </w:rPr>
            </w:pPr>
          </w:p>
          <w:p w14:paraId="5E3C748C" w14:textId="77777777" w:rsidR="00B63C82" w:rsidRPr="00F00CB3" w:rsidRDefault="00B63C82" w:rsidP="00B63C82">
            <w:pPr>
              <w:rPr>
                <w:rFonts w:ascii="Gadugi" w:hAnsi="Gadugi" w:cs="Arial"/>
                <w:color w:val="1F3864" w:themeColor="accent5" w:themeShade="80"/>
                <w:sz w:val="24"/>
                <w:szCs w:val="24"/>
              </w:rPr>
            </w:pPr>
          </w:p>
        </w:tc>
        <w:tc>
          <w:tcPr>
            <w:tcW w:w="3827" w:type="dxa"/>
          </w:tcPr>
          <w:p w14:paraId="2D07D583" w14:textId="506DF9E5" w:rsidR="00B63C82" w:rsidRPr="00F00CB3" w:rsidRDefault="00B63C82" w:rsidP="00B63C82">
            <w:pPr>
              <w:rPr>
                <w:rFonts w:ascii="Gadugi" w:hAnsi="Gadugi" w:cs="Arial"/>
                <w:color w:val="1F3864" w:themeColor="accent5" w:themeShade="80"/>
                <w:sz w:val="24"/>
                <w:szCs w:val="24"/>
              </w:rPr>
            </w:pPr>
            <w:r w:rsidRPr="00F00CB3">
              <w:rPr>
                <w:rFonts w:ascii="Arial" w:hAnsi="Arial" w:cs="Arial"/>
                <w:color w:val="1F3864" w:themeColor="accent5" w:themeShade="80"/>
              </w:rPr>
              <w:t xml:space="preserve">Nutrition knowledge underpins all of the other theory needs for GCSE.  </w:t>
            </w:r>
          </w:p>
        </w:tc>
        <w:tc>
          <w:tcPr>
            <w:tcW w:w="3620" w:type="dxa"/>
          </w:tcPr>
          <w:p w14:paraId="1983C74C" w14:textId="7777777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6F816B73" w14:textId="4F026FD9"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 – definitions to be written by the pupils in the key word table</w:t>
            </w:r>
          </w:p>
          <w:p w14:paraId="2B89C2D5" w14:textId="63621DC0"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SEEU model for each key word</w:t>
            </w:r>
          </w:p>
          <w:p w14:paraId="5304077F" w14:textId="7777777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Short &amp; long answer exam questions</w:t>
            </w:r>
          </w:p>
          <w:p w14:paraId="19C73B06" w14:textId="44056C91" w:rsidR="00B63C82" w:rsidRPr="00F00CB3" w:rsidRDefault="00B63C82" w:rsidP="00B949FF">
            <w:pPr>
              <w:rPr>
                <w:rFonts w:ascii="Arial" w:hAnsi="Arial" w:cs="Arial"/>
                <w:color w:val="1F3864" w:themeColor="accent5" w:themeShade="80"/>
              </w:rPr>
            </w:pPr>
            <w:r w:rsidRPr="00F00CB3">
              <w:rPr>
                <w:noProof/>
                <w:color w:val="1F3864" w:themeColor="accent5" w:themeShade="80"/>
                <w:lang w:eastAsia="en-GB"/>
              </w:rPr>
              <w:drawing>
                <wp:anchor distT="0" distB="0" distL="114300" distR="114300" simplePos="0" relativeHeight="251664384" behindDoc="0" locked="0" layoutInCell="1" allowOverlap="1" wp14:anchorId="3FFBCFAD" wp14:editId="3A5AE6E1">
                  <wp:simplePos x="0" y="0"/>
                  <wp:positionH relativeFrom="column">
                    <wp:posOffset>2807970</wp:posOffset>
                  </wp:positionH>
                  <wp:positionV relativeFrom="paragraph">
                    <wp:posOffset>8255</wp:posOffset>
                  </wp:positionV>
                  <wp:extent cx="623935" cy="577373"/>
                  <wp:effectExtent l="0" t="0" r="5080" b="0"/>
                  <wp:wrapNone/>
                  <wp:docPr id="12" name="Picture 2">
                    <a:extLst xmlns:a="http://schemas.openxmlformats.org/drawingml/2006/main">
                      <a:ext uri="{FF2B5EF4-FFF2-40B4-BE49-F238E27FC236}">
                        <a16:creationId xmlns:a16="http://schemas.microsoft.com/office/drawing/2014/main" id="{96101968-7071-4A8D-AA96-D7F617634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6101968-7071-4A8D-AA96-D7F61763482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3935" cy="577373"/>
                          </a:xfrm>
                          <a:prstGeom prst="rect">
                            <a:avLst/>
                          </a:prstGeom>
                        </pic:spPr>
                      </pic:pic>
                    </a:graphicData>
                  </a:graphic>
                </wp:anchor>
              </w:drawing>
            </w:r>
            <w:r w:rsidRPr="00F00CB3">
              <w:rPr>
                <w:noProof/>
                <w:color w:val="1F3864" w:themeColor="accent5" w:themeShade="80"/>
                <w:lang w:eastAsia="en-GB"/>
              </w:rPr>
              <w:drawing>
                <wp:anchor distT="0" distB="0" distL="114300" distR="114300" simplePos="0" relativeHeight="251665408" behindDoc="0" locked="0" layoutInCell="1" allowOverlap="1" wp14:anchorId="4C582712" wp14:editId="6CDFB581">
                  <wp:simplePos x="0" y="0"/>
                  <wp:positionH relativeFrom="column">
                    <wp:posOffset>-8890</wp:posOffset>
                  </wp:positionH>
                  <wp:positionV relativeFrom="paragraph">
                    <wp:posOffset>5347970</wp:posOffset>
                  </wp:positionV>
                  <wp:extent cx="1202330" cy="1096077"/>
                  <wp:effectExtent l="0" t="0" r="0" b="0"/>
                  <wp:wrapNone/>
                  <wp:docPr id="13" name="Picture 2" descr="Teaching Oracy Through News | About Us | First News Education">
                    <a:extLst xmlns:a="http://schemas.openxmlformats.org/drawingml/2006/main">
                      <a:ext uri="{FF2B5EF4-FFF2-40B4-BE49-F238E27FC236}">
                        <a16:creationId xmlns:a16="http://schemas.microsoft.com/office/drawing/2014/main" id="{CBCA3B38-B8CD-41E3-A6F4-84B6E5ACE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Teaching Oracy Through News | About Us | First News Education">
                            <a:extLst>
                              <a:ext uri="{FF2B5EF4-FFF2-40B4-BE49-F238E27FC236}">
                                <a16:creationId xmlns:a16="http://schemas.microsoft.com/office/drawing/2014/main" id="{CBCA3B38-B8CD-41E3-A6F4-84B6E5ACE0FA}"/>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2330" cy="109607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r>
      <w:tr w:rsidR="00B63C82" w:rsidRPr="00344FC8" w14:paraId="21FB7BFB" w14:textId="77777777" w:rsidTr="00940775">
        <w:trPr>
          <w:trHeight w:val="2839"/>
        </w:trPr>
        <w:tc>
          <w:tcPr>
            <w:tcW w:w="1271" w:type="dxa"/>
            <w:vAlign w:val="center"/>
          </w:tcPr>
          <w:p w14:paraId="4DC8BB31" w14:textId="77777777" w:rsidR="00B63C82" w:rsidRPr="00F00CB3" w:rsidRDefault="00B63C82" w:rsidP="00B63C82">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Autumn</w:t>
            </w:r>
            <w:r w:rsidRPr="00F00CB3">
              <w:rPr>
                <w:rFonts w:ascii="Gadugi" w:hAnsi="Gadugi" w:cs="Arial"/>
                <w:b/>
                <w:bCs/>
                <w:color w:val="1F3864" w:themeColor="accent5" w:themeShade="80"/>
                <w:sz w:val="24"/>
                <w:szCs w:val="24"/>
              </w:rPr>
              <w:br/>
            </w:r>
            <w:r w:rsidRPr="00F00CB3">
              <w:rPr>
                <w:rFonts w:ascii="Gadugi" w:hAnsi="Gadugi" w:cs="Arial"/>
                <w:b/>
                <w:bCs/>
                <w:color w:val="1F3864" w:themeColor="accent5" w:themeShade="80"/>
                <w:sz w:val="24"/>
                <w:szCs w:val="24"/>
              </w:rPr>
              <w:br/>
              <w:t xml:space="preserve">Half Term 2  </w:t>
            </w:r>
          </w:p>
        </w:tc>
        <w:tc>
          <w:tcPr>
            <w:tcW w:w="3544" w:type="dxa"/>
          </w:tcPr>
          <w:p w14:paraId="10ED1BF0" w14:textId="77777777" w:rsidR="00B63C82" w:rsidRPr="00F00CB3" w:rsidRDefault="00B63C82" w:rsidP="00B63C82">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Nutritional Needs &amp; Health</w:t>
            </w:r>
          </w:p>
          <w:p w14:paraId="73558F8A" w14:textId="7777777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Making informed dietary choices</w:t>
            </w:r>
          </w:p>
          <w:p w14:paraId="34709AAB" w14:textId="77777777"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Energy needs</w:t>
            </w:r>
          </w:p>
          <w:p w14:paraId="23F9B089" w14:textId="77777777" w:rsidR="00B949FF"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Nutritional analysis</w:t>
            </w:r>
          </w:p>
          <w:p w14:paraId="665B44F6" w14:textId="16D27C5D" w:rsidR="00B63C82" w:rsidRPr="00F00CB3" w:rsidRDefault="00B63C82"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Diet related diseases and conditions</w:t>
            </w:r>
          </w:p>
        </w:tc>
        <w:tc>
          <w:tcPr>
            <w:tcW w:w="3544" w:type="dxa"/>
          </w:tcPr>
          <w:p w14:paraId="13528405"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Practical work is assessed on an ongoing basis as pupils develop their skills throughout the course</w:t>
            </w:r>
          </w:p>
          <w:p w14:paraId="5F9F6079" w14:textId="77777777" w:rsidR="00B63C82" w:rsidRPr="00F00CB3" w:rsidRDefault="00B63C82" w:rsidP="00B63C82">
            <w:pPr>
              <w:rPr>
                <w:rFonts w:ascii="Arial" w:hAnsi="Arial" w:cs="Arial"/>
                <w:color w:val="1F3864" w:themeColor="accent5" w:themeShade="80"/>
              </w:rPr>
            </w:pPr>
          </w:p>
          <w:p w14:paraId="0044E5B1"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 xml:space="preserve">In class assessment includes quick </w:t>
            </w:r>
            <w:proofErr w:type="gramStart"/>
            <w:r w:rsidRPr="00F00CB3">
              <w:rPr>
                <w:rFonts w:ascii="Arial" w:hAnsi="Arial" w:cs="Arial"/>
                <w:color w:val="1F3864" w:themeColor="accent5" w:themeShade="80"/>
              </w:rPr>
              <w:t>multiple choice</w:t>
            </w:r>
            <w:proofErr w:type="gramEnd"/>
            <w:r w:rsidRPr="00F00CB3">
              <w:rPr>
                <w:rFonts w:ascii="Arial" w:hAnsi="Arial" w:cs="Arial"/>
                <w:color w:val="1F3864" w:themeColor="accent5" w:themeShade="80"/>
              </w:rPr>
              <w:t xml:space="preserve"> quizzes and longer answer exam questions.</w:t>
            </w:r>
          </w:p>
          <w:p w14:paraId="6E2C61B5" w14:textId="77777777" w:rsidR="00B63C82" w:rsidRPr="00F00CB3" w:rsidRDefault="00B63C82" w:rsidP="00B63C82">
            <w:pPr>
              <w:rPr>
                <w:rFonts w:ascii="Arial" w:hAnsi="Arial" w:cs="Arial"/>
                <w:color w:val="1F3864" w:themeColor="accent5" w:themeShade="80"/>
              </w:rPr>
            </w:pPr>
          </w:p>
          <w:p w14:paraId="37AD559E" w14:textId="77777777" w:rsidR="00B63C82" w:rsidRPr="00F00CB3" w:rsidRDefault="00B63C82" w:rsidP="00B63C82">
            <w:pPr>
              <w:rPr>
                <w:rFonts w:ascii="Arial" w:hAnsi="Arial" w:cs="Arial"/>
                <w:color w:val="1F3864" w:themeColor="accent5" w:themeShade="80"/>
              </w:rPr>
            </w:pPr>
            <w:r w:rsidRPr="00F00CB3">
              <w:rPr>
                <w:rFonts w:ascii="Arial" w:hAnsi="Arial" w:cs="Arial"/>
                <w:color w:val="1F3864" w:themeColor="accent5" w:themeShade="80"/>
              </w:rPr>
              <w:t>At the end of each unit pupils are given a formal written test</w:t>
            </w:r>
          </w:p>
          <w:p w14:paraId="33E2344F" w14:textId="77777777" w:rsidR="00B63C82" w:rsidRPr="00F00CB3" w:rsidRDefault="00B63C82" w:rsidP="00B63C82">
            <w:pPr>
              <w:rPr>
                <w:rFonts w:ascii="Gadugi" w:hAnsi="Gadugi" w:cs="Arial"/>
                <w:color w:val="1F3864" w:themeColor="accent5" w:themeShade="80"/>
                <w:sz w:val="24"/>
                <w:szCs w:val="24"/>
              </w:rPr>
            </w:pPr>
          </w:p>
        </w:tc>
        <w:tc>
          <w:tcPr>
            <w:tcW w:w="3827" w:type="dxa"/>
          </w:tcPr>
          <w:p w14:paraId="207A68D6" w14:textId="7994A7FD" w:rsidR="00B63C82" w:rsidRPr="00F00CB3" w:rsidRDefault="00B63C82" w:rsidP="00B63C82">
            <w:pPr>
              <w:rPr>
                <w:rFonts w:ascii="Gadugi" w:hAnsi="Gadugi" w:cs="Arial"/>
                <w:color w:val="1F3864" w:themeColor="accent5" w:themeShade="80"/>
                <w:sz w:val="24"/>
                <w:szCs w:val="24"/>
              </w:rPr>
            </w:pPr>
            <w:r w:rsidRPr="00F00CB3">
              <w:rPr>
                <w:rFonts w:ascii="Arial" w:hAnsi="Arial" w:cs="Arial"/>
                <w:color w:val="1F3864" w:themeColor="accent5" w:themeShade="80"/>
              </w:rPr>
              <w:t>This unit starts to apply the theory knowledge from unit 1.  It is taught at this time so that pupils can use this knowledge to help them with their mock NEA project after Christmas.</w:t>
            </w:r>
          </w:p>
        </w:tc>
        <w:tc>
          <w:tcPr>
            <w:tcW w:w="3620" w:type="dxa"/>
          </w:tcPr>
          <w:p w14:paraId="330BB6BF"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636E87DD"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 – definitions to be written by the pupils in the key word table</w:t>
            </w:r>
          </w:p>
          <w:p w14:paraId="225F1842"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SEEU model for each key word</w:t>
            </w:r>
          </w:p>
          <w:p w14:paraId="35324FD4"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Short &amp; long answer exam questions</w:t>
            </w:r>
          </w:p>
          <w:p w14:paraId="093A7086" w14:textId="77777777" w:rsidR="00B63C82" w:rsidRPr="00F00CB3" w:rsidRDefault="00B63C82" w:rsidP="00B63C82">
            <w:pPr>
              <w:rPr>
                <w:rFonts w:ascii="Gadugi" w:hAnsi="Gadugi" w:cs="Arial"/>
                <w:color w:val="1F3864" w:themeColor="accent5" w:themeShade="80"/>
                <w:sz w:val="24"/>
                <w:szCs w:val="24"/>
              </w:rPr>
            </w:pPr>
          </w:p>
        </w:tc>
      </w:tr>
      <w:tr w:rsidR="00B949FF" w:rsidRPr="00344FC8" w14:paraId="25A7C5E4" w14:textId="77777777" w:rsidTr="00B63C82">
        <w:trPr>
          <w:trHeight w:val="973"/>
        </w:trPr>
        <w:tc>
          <w:tcPr>
            <w:tcW w:w="1271" w:type="dxa"/>
            <w:vAlign w:val="center"/>
          </w:tcPr>
          <w:p w14:paraId="1E013462" w14:textId="77777777"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Spring</w:t>
            </w:r>
          </w:p>
          <w:p w14:paraId="2F434A3A" w14:textId="77777777" w:rsidR="00B949FF" w:rsidRPr="00F00CB3" w:rsidRDefault="00B949FF" w:rsidP="00B949FF">
            <w:pPr>
              <w:jc w:val="center"/>
              <w:rPr>
                <w:rFonts w:ascii="Gadugi" w:hAnsi="Gadugi" w:cs="Arial"/>
                <w:b/>
                <w:bCs/>
                <w:color w:val="1F3864" w:themeColor="accent5" w:themeShade="80"/>
                <w:sz w:val="24"/>
                <w:szCs w:val="24"/>
              </w:rPr>
            </w:pPr>
          </w:p>
          <w:p w14:paraId="72353099" w14:textId="04A9918E"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Half Term 3</w:t>
            </w:r>
          </w:p>
        </w:tc>
        <w:tc>
          <w:tcPr>
            <w:tcW w:w="3544" w:type="dxa"/>
          </w:tcPr>
          <w:p w14:paraId="209A7EFD" w14:textId="77777777" w:rsidR="00B949FF" w:rsidRPr="00F00CB3" w:rsidRDefault="00B949FF" w:rsidP="00B949FF">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Food Safety</w:t>
            </w:r>
          </w:p>
          <w:p w14:paraId="62066781"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Food spoilage &amp; contamination</w:t>
            </w:r>
          </w:p>
          <w:p w14:paraId="2ABDB786"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Microorganisms in food production</w:t>
            </w:r>
          </w:p>
          <w:p w14:paraId="4B366C97"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Bacterial contamination</w:t>
            </w:r>
          </w:p>
          <w:p w14:paraId="10E27F07"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Buying &amp; storing food safely</w:t>
            </w:r>
          </w:p>
          <w:p w14:paraId="7D964295" w14:textId="40762E7E"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 xml:space="preserve">Preparing, cooking and serving food safely </w:t>
            </w:r>
          </w:p>
        </w:tc>
        <w:tc>
          <w:tcPr>
            <w:tcW w:w="3544" w:type="dxa"/>
          </w:tcPr>
          <w:p w14:paraId="0C850B84"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Practical work is assessed on an ongoing basis as pupils develop their skills throughout the course</w:t>
            </w:r>
          </w:p>
          <w:p w14:paraId="67178C66" w14:textId="77777777" w:rsidR="00B949FF" w:rsidRPr="00F00CB3" w:rsidRDefault="00B949FF" w:rsidP="00B949FF">
            <w:pPr>
              <w:rPr>
                <w:rFonts w:ascii="Arial" w:hAnsi="Arial" w:cs="Arial"/>
                <w:color w:val="1F3864" w:themeColor="accent5" w:themeShade="80"/>
              </w:rPr>
            </w:pPr>
          </w:p>
          <w:p w14:paraId="0D72249D"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 xml:space="preserve">In class assessment includes quick </w:t>
            </w:r>
            <w:proofErr w:type="gramStart"/>
            <w:r w:rsidRPr="00F00CB3">
              <w:rPr>
                <w:rFonts w:ascii="Arial" w:hAnsi="Arial" w:cs="Arial"/>
                <w:color w:val="1F3864" w:themeColor="accent5" w:themeShade="80"/>
              </w:rPr>
              <w:t>multiple choice</w:t>
            </w:r>
            <w:proofErr w:type="gramEnd"/>
            <w:r w:rsidRPr="00F00CB3">
              <w:rPr>
                <w:rFonts w:ascii="Arial" w:hAnsi="Arial" w:cs="Arial"/>
                <w:color w:val="1F3864" w:themeColor="accent5" w:themeShade="80"/>
              </w:rPr>
              <w:t xml:space="preserve"> quizzes and longer answer exam questions.</w:t>
            </w:r>
          </w:p>
          <w:p w14:paraId="6EF35BC5" w14:textId="77777777" w:rsidR="00B949FF" w:rsidRPr="00F00CB3" w:rsidRDefault="00B949FF" w:rsidP="00B949FF">
            <w:pPr>
              <w:rPr>
                <w:rFonts w:ascii="Arial" w:hAnsi="Arial" w:cs="Arial"/>
                <w:color w:val="1F3864" w:themeColor="accent5" w:themeShade="80"/>
              </w:rPr>
            </w:pPr>
          </w:p>
          <w:p w14:paraId="09149260"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At the end of each unit pupils are given a formal written test</w:t>
            </w:r>
          </w:p>
          <w:p w14:paraId="088548A4" w14:textId="77777777" w:rsidR="00B949FF" w:rsidRPr="00F00CB3" w:rsidRDefault="00B949FF" w:rsidP="00B949FF">
            <w:pPr>
              <w:rPr>
                <w:rFonts w:ascii="Arial" w:hAnsi="Arial" w:cs="Arial"/>
                <w:color w:val="1F3864" w:themeColor="accent5" w:themeShade="80"/>
              </w:rPr>
            </w:pPr>
          </w:p>
        </w:tc>
        <w:tc>
          <w:tcPr>
            <w:tcW w:w="3827" w:type="dxa"/>
          </w:tcPr>
          <w:p w14:paraId="7C406E73" w14:textId="75401F73"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Ongoing theory knowledge acquisition.</w:t>
            </w:r>
          </w:p>
        </w:tc>
        <w:tc>
          <w:tcPr>
            <w:tcW w:w="3620" w:type="dxa"/>
          </w:tcPr>
          <w:p w14:paraId="38036FEB"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76E96EFF"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 – definitions to be written by the pupils in the key word table</w:t>
            </w:r>
          </w:p>
          <w:p w14:paraId="74542AAA"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SEEU model for each key word</w:t>
            </w:r>
          </w:p>
          <w:p w14:paraId="5BF5A9AD"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Short &amp; long answer exam questions</w:t>
            </w:r>
          </w:p>
          <w:p w14:paraId="4EDA3ECB"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p>
        </w:tc>
      </w:tr>
      <w:tr w:rsidR="00B949FF" w:rsidRPr="00344FC8" w14:paraId="5381CCA0" w14:textId="77777777" w:rsidTr="00B63C82">
        <w:trPr>
          <w:trHeight w:val="973"/>
        </w:trPr>
        <w:tc>
          <w:tcPr>
            <w:tcW w:w="1271" w:type="dxa"/>
            <w:vAlign w:val="center"/>
          </w:tcPr>
          <w:p w14:paraId="47D0019B" w14:textId="35DFB493"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lastRenderedPageBreak/>
              <w:t xml:space="preserve">Spring </w:t>
            </w:r>
            <w:r w:rsidRPr="00F00CB3">
              <w:rPr>
                <w:rFonts w:ascii="Gadugi" w:hAnsi="Gadugi" w:cs="Arial"/>
                <w:b/>
                <w:bCs/>
                <w:color w:val="1F3864" w:themeColor="accent5" w:themeShade="80"/>
                <w:sz w:val="24"/>
                <w:szCs w:val="24"/>
              </w:rPr>
              <w:br/>
            </w:r>
            <w:r w:rsidRPr="00F00CB3">
              <w:rPr>
                <w:rFonts w:ascii="Gadugi" w:hAnsi="Gadugi" w:cs="Arial"/>
                <w:b/>
                <w:bCs/>
                <w:color w:val="1F3864" w:themeColor="accent5" w:themeShade="80"/>
                <w:sz w:val="24"/>
                <w:szCs w:val="24"/>
              </w:rPr>
              <w:br/>
              <w:t>Half Term 4</w:t>
            </w:r>
          </w:p>
        </w:tc>
        <w:tc>
          <w:tcPr>
            <w:tcW w:w="3544" w:type="dxa"/>
          </w:tcPr>
          <w:p w14:paraId="1A172DAA" w14:textId="77777777" w:rsidR="00B949FF" w:rsidRPr="00F00CB3" w:rsidRDefault="00B949FF" w:rsidP="00B949FF">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Mock NEA2</w:t>
            </w:r>
          </w:p>
          <w:p w14:paraId="2DC4D3C4" w14:textId="063F8BEF" w:rsidR="00B949FF" w:rsidRPr="00F00CB3" w:rsidRDefault="00B949FF" w:rsidP="00B949FF">
            <w:pPr>
              <w:rPr>
                <w:rFonts w:ascii="Gadugi" w:hAnsi="Gadugi" w:cs="Arial"/>
                <w:color w:val="1F3864" w:themeColor="accent5" w:themeShade="80"/>
                <w:sz w:val="24"/>
                <w:szCs w:val="24"/>
              </w:rPr>
            </w:pPr>
            <w:r w:rsidRPr="00F00CB3">
              <w:rPr>
                <w:rFonts w:ascii="Arial" w:hAnsi="Arial" w:cs="Arial"/>
                <w:color w:val="1F3864" w:themeColor="accent5" w:themeShade="80"/>
              </w:rPr>
              <w:t xml:space="preserve">A slimmed down version of the NEA2 project to be completed in Year 11.  ‘Plan, prepare, cook and present a range of dishes that meet healthy eating guidelines and would be suitable for young children.  Present two dishes’ </w:t>
            </w:r>
          </w:p>
        </w:tc>
        <w:tc>
          <w:tcPr>
            <w:tcW w:w="3544" w:type="dxa"/>
          </w:tcPr>
          <w:p w14:paraId="4EE7F3A4"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All areas of mock NEA2 to be assessed:  task analysis, research, selecting suitable dishes, practical, evaluation and analysis.</w:t>
            </w:r>
          </w:p>
          <w:p w14:paraId="337AADAD" w14:textId="77777777" w:rsidR="00B949FF" w:rsidRPr="00F00CB3" w:rsidRDefault="00B949FF" w:rsidP="00B949FF">
            <w:pPr>
              <w:rPr>
                <w:rFonts w:ascii="Arial" w:hAnsi="Arial" w:cs="Arial"/>
                <w:color w:val="1F3864" w:themeColor="accent5" w:themeShade="80"/>
              </w:rPr>
            </w:pPr>
          </w:p>
          <w:p w14:paraId="24FE17DB" w14:textId="04658A30" w:rsidR="00B949FF" w:rsidRPr="00F00CB3" w:rsidRDefault="00B949FF" w:rsidP="00397B85">
            <w:pPr>
              <w:pStyle w:val="ListParagraph"/>
              <w:numPr>
                <w:ilvl w:val="0"/>
                <w:numId w:val="3"/>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Formal written feedback to be provided to each pupil and form part of the grade for the next tracing window.</w:t>
            </w:r>
          </w:p>
        </w:tc>
        <w:tc>
          <w:tcPr>
            <w:tcW w:w="3827" w:type="dxa"/>
          </w:tcPr>
          <w:p w14:paraId="4A977CFA" w14:textId="43E32771" w:rsidR="00B949FF" w:rsidRPr="00F00CB3" w:rsidRDefault="00B949FF" w:rsidP="00B949FF">
            <w:pPr>
              <w:rPr>
                <w:rFonts w:ascii="Gadugi" w:hAnsi="Gadugi" w:cs="Arial"/>
                <w:color w:val="1F3864" w:themeColor="accent5" w:themeShade="80"/>
                <w:sz w:val="24"/>
                <w:szCs w:val="24"/>
              </w:rPr>
            </w:pPr>
            <w:r w:rsidRPr="00F00CB3">
              <w:rPr>
                <w:rFonts w:ascii="Arial" w:hAnsi="Arial" w:cs="Arial"/>
                <w:color w:val="1F3864" w:themeColor="accent5" w:themeShade="80"/>
              </w:rPr>
              <w:t>Skill development for Year 11 NEA</w:t>
            </w:r>
          </w:p>
        </w:tc>
        <w:tc>
          <w:tcPr>
            <w:tcW w:w="3620" w:type="dxa"/>
          </w:tcPr>
          <w:p w14:paraId="7C6CEFD7"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7A3A0A7B"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w:t>
            </w:r>
          </w:p>
          <w:p w14:paraId="5F26185F" w14:textId="1FB108CC" w:rsidR="00B949FF" w:rsidRPr="00F00CB3" w:rsidRDefault="00B949FF" w:rsidP="00B949FF">
            <w:pPr>
              <w:rPr>
                <w:rFonts w:ascii="Gadugi" w:hAnsi="Gadugi" w:cs="Arial"/>
                <w:color w:val="1F3864" w:themeColor="accent5" w:themeShade="80"/>
                <w:sz w:val="24"/>
                <w:szCs w:val="24"/>
              </w:rPr>
            </w:pPr>
            <w:r w:rsidRPr="00F00CB3">
              <w:rPr>
                <w:rFonts w:ascii="Arial" w:hAnsi="Arial" w:cs="Arial"/>
                <w:color w:val="1F3864" w:themeColor="accent5" w:themeShade="80"/>
              </w:rPr>
              <w:t>Writing an extended project</w:t>
            </w:r>
          </w:p>
        </w:tc>
      </w:tr>
      <w:tr w:rsidR="00B949FF" w:rsidRPr="00344FC8" w14:paraId="0DA90215" w14:textId="77777777" w:rsidTr="00940775">
        <w:trPr>
          <w:trHeight w:val="3388"/>
        </w:trPr>
        <w:tc>
          <w:tcPr>
            <w:tcW w:w="1271" w:type="dxa"/>
            <w:vAlign w:val="center"/>
          </w:tcPr>
          <w:p w14:paraId="3FEC6A67" w14:textId="77777777"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Summer</w:t>
            </w:r>
            <w:r w:rsidRPr="00F00CB3">
              <w:rPr>
                <w:rFonts w:ascii="Gadugi" w:hAnsi="Gadugi" w:cs="Arial"/>
                <w:b/>
                <w:bCs/>
                <w:color w:val="1F3864" w:themeColor="accent5" w:themeShade="80"/>
                <w:sz w:val="24"/>
                <w:szCs w:val="24"/>
              </w:rPr>
              <w:br/>
            </w:r>
          </w:p>
          <w:p w14:paraId="6BBAD4B2" w14:textId="77777777"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Half Term 5</w:t>
            </w:r>
          </w:p>
        </w:tc>
        <w:tc>
          <w:tcPr>
            <w:tcW w:w="3544" w:type="dxa"/>
          </w:tcPr>
          <w:p w14:paraId="50B7CD4B" w14:textId="77777777" w:rsidR="00B949FF" w:rsidRPr="00F00CB3" w:rsidRDefault="00B949FF" w:rsidP="00B949FF">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Food Science</w:t>
            </w:r>
          </w:p>
          <w:p w14:paraId="364B8C1D"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Why are foods cooked?</w:t>
            </w:r>
          </w:p>
          <w:p w14:paraId="0B4B1486"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Heat transfer methods</w:t>
            </w:r>
          </w:p>
          <w:p w14:paraId="5A5EFFF1"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Selecting appropriate cooking methods</w:t>
            </w:r>
          </w:p>
          <w:p w14:paraId="4005F135" w14:textId="098DA149" w:rsidR="00B949FF" w:rsidRPr="00F00CB3" w:rsidRDefault="00B949FF" w:rsidP="00397B85">
            <w:pPr>
              <w:pStyle w:val="ListParagraph"/>
              <w:numPr>
                <w:ilvl w:val="0"/>
                <w:numId w:val="1"/>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Functional properties of ingredients</w:t>
            </w:r>
          </w:p>
        </w:tc>
        <w:tc>
          <w:tcPr>
            <w:tcW w:w="3544" w:type="dxa"/>
          </w:tcPr>
          <w:p w14:paraId="1971341B"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Practical work is assessed on an ongoing basis as pupils develop their skills throughout the course</w:t>
            </w:r>
          </w:p>
          <w:p w14:paraId="26E8A755" w14:textId="77777777" w:rsidR="00B949FF" w:rsidRPr="00F00CB3" w:rsidRDefault="00B949FF" w:rsidP="00B949FF">
            <w:pPr>
              <w:rPr>
                <w:rFonts w:ascii="Arial" w:hAnsi="Arial" w:cs="Arial"/>
                <w:color w:val="1F3864" w:themeColor="accent5" w:themeShade="80"/>
              </w:rPr>
            </w:pPr>
          </w:p>
          <w:p w14:paraId="46683235"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 xml:space="preserve">In class assessment includes quick </w:t>
            </w:r>
            <w:proofErr w:type="gramStart"/>
            <w:r w:rsidRPr="00F00CB3">
              <w:rPr>
                <w:rFonts w:ascii="Arial" w:hAnsi="Arial" w:cs="Arial"/>
                <w:color w:val="1F3864" w:themeColor="accent5" w:themeShade="80"/>
              </w:rPr>
              <w:t>multiple choice</w:t>
            </w:r>
            <w:proofErr w:type="gramEnd"/>
            <w:r w:rsidRPr="00F00CB3">
              <w:rPr>
                <w:rFonts w:ascii="Arial" w:hAnsi="Arial" w:cs="Arial"/>
                <w:color w:val="1F3864" w:themeColor="accent5" w:themeShade="80"/>
              </w:rPr>
              <w:t xml:space="preserve"> quizzes and longer answer exam questions.</w:t>
            </w:r>
          </w:p>
          <w:p w14:paraId="265AFC4A" w14:textId="77777777" w:rsidR="00B949FF" w:rsidRPr="00F00CB3" w:rsidRDefault="00B949FF" w:rsidP="00B949FF">
            <w:pPr>
              <w:rPr>
                <w:rFonts w:ascii="Arial" w:hAnsi="Arial" w:cs="Arial"/>
                <w:color w:val="1F3864" w:themeColor="accent5" w:themeShade="80"/>
              </w:rPr>
            </w:pPr>
          </w:p>
          <w:p w14:paraId="0B8D5EFB"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At the end of each unit pupils are given a formal written test</w:t>
            </w:r>
          </w:p>
          <w:p w14:paraId="31524CD6" w14:textId="562DA03F" w:rsidR="00B949FF" w:rsidRPr="00F00CB3" w:rsidRDefault="00B949FF" w:rsidP="00B949FF">
            <w:pPr>
              <w:rPr>
                <w:rFonts w:ascii="Gadugi" w:hAnsi="Gadugi" w:cs="Arial"/>
                <w:i/>
                <w:color w:val="1F3864" w:themeColor="accent5" w:themeShade="80"/>
                <w:sz w:val="24"/>
                <w:szCs w:val="24"/>
              </w:rPr>
            </w:pPr>
          </w:p>
        </w:tc>
        <w:tc>
          <w:tcPr>
            <w:tcW w:w="3827" w:type="dxa"/>
          </w:tcPr>
          <w:p w14:paraId="3AADD495" w14:textId="04D4D88A" w:rsidR="00B949FF" w:rsidRPr="00F00CB3" w:rsidRDefault="00B949FF" w:rsidP="00B949FF">
            <w:pPr>
              <w:rPr>
                <w:rFonts w:ascii="Gadugi" w:hAnsi="Gadugi" w:cs="Arial"/>
                <w:color w:val="1F3864" w:themeColor="accent5" w:themeShade="80"/>
                <w:sz w:val="24"/>
                <w:szCs w:val="24"/>
              </w:rPr>
            </w:pPr>
            <w:r w:rsidRPr="00F00CB3">
              <w:rPr>
                <w:rFonts w:ascii="Arial" w:hAnsi="Arial" w:cs="Arial"/>
                <w:color w:val="1F3864" w:themeColor="accent5" w:themeShade="80"/>
              </w:rPr>
              <w:t>This is one of the more difficult theory topics and so teaching it later in Year 10 seems more appropriate.  Year 11 starts with NEA1 which is a science investigation piece of coursework so teaching later in the year is also better in that respect.</w:t>
            </w:r>
          </w:p>
        </w:tc>
        <w:tc>
          <w:tcPr>
            <w:tcW w:w="3620" w:type="dxa"/>
          </w:tcPr>
          <w:p w14:paraId="6E22E1CC"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4B3D353C"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 – definitions to be written by the pupils in the key word table</w:t>
            </w:r>
          </w:p>
          <w:p w14:paraId="06302ED2"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SEEU model for each key word</w:t>
            </w:r>
          </w:p>
          <w:p w14:paraId="0180D09C"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Short &amp; long answer exam questions</w:t>
            </w:r>
          </w:p>
          <w:p w14:paraId="401556A0" w14:textId="77777777" w:rsidR="00B949FF" w:rsidRPr="00F00CB3" w:rsidRDefault="00B949FF" w:rsidP="00B949FF">
            <w:pPr>
              <w:rPr>
                <w:rFonts w:ascii="Gadugi" w:hAnsi="Gadugi" w:cs="Arial"/>
                <w:color w:val="1F3864" w:themeColor="accent5" w:themeShade="80"/>
                <w:sz w:val="24"/>
                <w:szCs w:val="24"/>
              </w:rPr>
            </w:pPr>
          </w:p>
        </w:tc>
      </w:tr>
      <w:tr w:rsidR="00B949FF" w:rsidRPr="00344FC8" w14:paraId="2770D57E" w14:textId="77777777" w:rsidTr="00940775">
        <w:trPr>
          <w:trHeight w:val="3353"/>
        </w:trPr>
        <w:tc>
          <w:tcPr>
            <w:tcW w:w="1271" w:type="dxa"/>
            <w:vAlign w:val="center"/>
          </w:tcPr>
          <w:p w14:paraId="27C19DD2" w14:textId="77777777"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Summer</w:t>
            </w:r>
            <w:r w:rsidRPr="00F00CB3">
              <w:rPr>
                <w:rFonts w:ascii="Gadugi" w:hAnsi="Gadugi" w:cs="Arial"/>
                <w:b/>
                <w:bCs/>
                <w:color w:val="1F3864" w:themeColor="accent5" w:themeShade="80"/>
                <w:sz w:val="24"/>
                <w:szCs w:val="24"/>
              </w:rPr>
              <w:br/>
            </w:r>
          </w:p>
          <w:p w14:paraId="49D051FD" w14:textId="77777777" w:rsidR="00B949FF" w:rsidRPr="00F00CB3" w:rsidRDefault="00B949FF" w:rsidP="00B949FF">
            <w:pPr>
              <w:jc w:val="center"/>
              <w:rPr>
                <w:rFonts w:ascii="Gadugi" w:hAnsi="Gadugi" w:cs="Arial"/>
                <w:b/>
                <w:bCs/>
                <w:color w:val="1F3864" w:themeColor="accent5" w:themeShade="80"/>
                <w:sz w:val="24"/>
                <w:szCs w:val="24"/>
              </w:rPr>
            </w:pPr>
            <w:r w:rsidRPr="00F00CB3">
              <w:rPr>
                <w:rFonts w:ascii="Gadugi" w:hAnsi="Gadugi" w:cs="Arial"/>
                <w:b/>
                <w:bCs/>
                <w:color w:val="1F3864" w:themeColor="accent5" w:themeShade="80"/>
                <w:sz w:val="24"/>
                <w:szCs w:val="24"/>
              </w:rPr>
              <w:t>Half Term 6</w:t>
            </w:r>
          </w:p>
        </w:tc>
        <w:tc>
          <w:tcPr>
            <w:tcW w:w="3544" w:type="dxa"/>
          </w:tcPr>
          <w:p w14:paraId="6A8DFF7B" w14:textId="77777777" w:rsidR="00B949FF" w:rsidRPr="00F00CB3" w:rsidRDefault="00B949FF" w:rsidP="00B949FF">
            <w:pPr>
              <w:pStyle w:val="ListParagraph"/>
              <w:ind w:left="420"/>
              <w:rPr>
                <w:rFonts w:ascii="Arial" w:hAnsi="Arial" w:cs="Arial"/>
                <w:b/>
                <w:color w:val="1F3864" w:themeColor="accent5" w:themeShade="80"/>
                <w:sz w:val="22"/>
                <w:szCs w:val="22"/>
              </w:rPr>
            </w:pPr>
            <w:r w:rsidRPr="00F00CB3">
              <w:rPr>
                <w:rFonts w:ascii="Arial" w:hAnsi="Arial" w:cs="Arial"/>
                <w:b/>
                <w:color w:val="1F3864" w:themeColor="accent5" w:themeShade="80"/>
                <w:sz w:val="22"/>
                <w:szCs w:val="22"/>
              </w:rPr>
              <w:t>Food Choices &amp; Food Provenance</w:t>
            </w:r>
          </w:p>
          <w:p w14:paraId="648F0140"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Factors affecting food choices</w:t>
            </w:r>
          </w:p>
          <w:p w14:paraId="5D2FDFD8"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Food labelling</w:t>
            </w:r>
          </w:p>
          <w:p w14:paraId="10AB5B61"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Food marketing</w:t>
            </w:r>
          </w:p>
          <w:p w14:paraId="18DD6006"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Food sources</w:t>
            </w:r>
          </w:p>
          <w:p w14:paraId="7FB97A1A"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Food &amp; the environment</w:t>
            </w:r>
          </w:p>
          <w:p w14:paraId="3C440CA6" w14:textId="77777777"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sz w:val="22"/>
                <w:szCs w:val="22"/>
              </w:rPr>
              <w:t>Food processing &amp; production</w:t>
            </w:r>
          </w:p>
          <w:p w14:paraId="1C1258A0" w14:textId="01A54490" w:rsidR="00B949FF" w:rsidRPr="00F00CB3" w:rsidRDefault="00B949FF" w:rsidP="00397B85">
            <w:pPr>
              <w:pStyle w:val="ListParagraph"/>
              <w:numPr>
                <w:ilvl w:val="0"/>
                <w:numId w:val="4"/>
              </w:numPr>
              <w:rPr>
                <w:rFonts w:ascii="Arial" w:hAnsi="Arial" w:cs="Arial"/>
                <w:b/>
                <w:color w:val="1F3864" w:themeColor="accent5" w:themeShade="80"/>
                <w:sz w:val="22"/>
                <w:szCs w:val="22"/>
              </w:rPr>
            </w:pPr>
            <w:r w:rsidRPr="00F00CB3">
              <w:rPr>
                <w:rFonts w:ascii="Arial" w:hAnsi="Arial" w:cs="Arial"/>
                <w:color w:val="1F3864" w:themeColor="accent5" w:themeShade="80"/>
              </w:rPr>
              <w:t>Technological developments in the food industry</w:t>
            </w:r>
          </w:p>
        </w:tc>
        <w:tc>
          <w:tcPr>
            <w:tcW w:w="3544" w:type="dxa"/>
          </w:tcPr>
          <w:p w14:paraId="7519BD18"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Practical work is assessed on an ongoing basis as pupils develop their skills throughout the course</w:t>
            </w:r>
          </w:p>
          <w:p w14:paraId="77784511" w14:textId="77777777" w:rsidR="00B949FF" w:rsidRPr="00F00CB3" w:rsidRDefault="00B949FF" w:rsidP="00B949FF">
            <w:pPr>
              <w:rPr>
                <w:rFonts w:ascii="Arial" w:hAnsi="Arial" w:cs="Arial"/>
                <w:color w:val="1F3864" w:themeColor="accent5" w:themeShade="80"/>
              </w:rPr>
            </w:pPr>
          </w:p>
          <w:p w14:paraId="5BFE870C"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 xml:space="preserve">In class assessment includes quick </w:t>
            </w:r>
            <w:proofErr w:type="gramStart"/>
            <w:r w:rsidRPr="00F00CB3">
              <w:rPr>
                <w:rFonts w:ascii="Arial" w:hAnsi="Arial" w:cs="Arial"/>
                <w:color w:val="1F3864" w:themeColor="accent5" w:themeShade="80"/>
              </w:rPr>
              <w:t>multiple choice</w:t>
            </w:r>
            <w:proofErr w:type="gramEnd"/>
            <w:r w:rsidRPr="00F00CB3">
              <w:rPr>
                <w:rFonts w:ascii="Arial" w:hAnsi="Arial" w:cs="Arial"/>
                <w:color w:val="1F3864" w:themeColor="accent5" w:themeShade="80"/>
              </w:rPr>
              <w:t xml:space="preserve"> quizzes and longer answer exam questions.</w:t>
            </w:r>
          </w:p>
          <w:p w14:paraId="4E8FCA86" w14:textId="77777777" w:rsidR="00B949FF" w:rsidRPr="00F00CB3" w:rsidRDefault="00B949FF" w:rsidP="00B949FF">
            <w:pPr>
              <w:rPr>
                <w:rFonts w:ascii="Arial" w:hAnsi="Arial" w:cs="Arial"/>
                <w:color w:val="1F3864" w:themeColor="accent5" w:themeShade="80"/>
              </w:rPr>
            </w:pPr>
          </w:p>
          <w:p w14:paraId="7D59577C" w14:textId="77777777" w:rsidR="00B949FF" w:rsidRPr="00F00CB3" w:rsidRDefault="00B949FF" w:rsidP="00B949FF">
            <w:pPr>
              <w:rPr>
                <w:rFonts w:ascii="Arial" w:hAnsi="Arial" w:cs="Arial"/>
                <w:color w:val="1F3864" w:themeColor="accent5" w:themeShade="80"/>
              </w:rPr>
            </w:pPr>
            <w:r w:rsidRPr="00F00CB3">
              <w:rPr>
                <w:rFonts w:ascii="Arial" w:hAnsi="Arial" w:cs="Arial"/>
                <w:color w:val="1F3864" w:themeColor="accent5" w:themeShade="80"/>
              </w:rPr>
              <w:t>At the end of each unit pupils are given a formal written test</w:t>
            </w:r>
          </w:p>
          <w:p w14:paraId="5D04217D" w14:textId="7574806D" w:rsidR="00B949FF" w:rsidRPr="00F00CB3" w:rsidRDefault="00B949FF" w:rsidP="00B949FF">
            <w:pPr>
              <w:rPr>
                <w:rFonts w:ascii="Gadugi" w:hAnsi="Gadugi" w:cs="Arial"/>
                <w:i/>
                <w:color w:val="1F3864" w:themeColor="accent5" w:themeShade="80"/>
                <w:sz w:val="24"/>
                <w:szCs w:val="24"/>
              </w:rPr>
            </w:pPr>
          </w:p>
        </w:tc>
        <w:tc>
          <w:tcPr>
            <w:tcW w:w="3827" w:type="dxa"/>
          </w:tcPr>
          <w:p w14:paraId="2FD43F61" w14:textId="6D366E34" w:rsidR="00B949FF" w:rsidRPr="00F00CB3" w:rsidRDefault="00B949FF" w:rsidP="00B949FF">
            <w:pPr>
              <w:rPr>
                <w:rFonts w:ascii="Gadugi" w:hAnsi="Gadugi" w:cs="Arial"/>
                <w:color w:val="1F3864" w:themeColor="accent5" w:themeShade="80"/>
                <w:sz w:val="24"/>
                <w:szCs w:val="24"/>
              </w:rPr>
            </w:pPr>
            <w:r w:rsidRPr="00F00CB3">
              <w:rPr>
                <w:rFonts w:ascii="Arial" w:hAnsi="Arial" w:cs="Arial"/>
                <w:color w:val="1F3864" w:themeColor="accent5" w:themeShade="80"/>
              </w:rPr>
              <w:t>This is one of the more difficult theory topics and so teaching it later in Year 10 seems more appropriate</w:t>
            </w:r>
          </w:p>
        </w:tc>
        <w:tc>
          <w:tcPr>
            <w:tcW w:w="3620" w:type="dxa"/>
          </w:tcPr>
          <w:p w14:paraId="45CFAB7E"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Paired / class discussions</w:t>
            </w:r>
          </w:p>
          <w:p w14:paraId="4AF2CACE"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Use of key terms – definitions to be written by the pupils in the key word table</w:t>
            </w:r>
          </w:p>
          <w:p w14:paraId="5F5B1175"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SEEU model for each key word</w:t>
            </w:r>
          </w:p>
          <w:p w14:paraId="43B9A06D" w14:textId="77777777" w:rsidR="00B949FF" w:rsidRPr="00F00CB3" w:rsidRDefault="00B949FF" w:rsidP="00397B85">
            <w:pPr>
              <w:pStyle w:val="ListParagraph"/>
              <w:numPr>
                <w:ilvl w:val="0"/>
                <w:numId w:val="4"/>
              </w:numPr>
              <w:rPr>
                <w:rFonts w:ascii="Arial" w:hAnsi="Arial" w:cs="Arial"/>
                <w:color w:val="1F3864" w:themeColor="accent5" w:themeShade="80"/>
                <w:sz w:val="22"/>
                <w:szCs w:val="22"/>
              </w:rPr>
            </w:pPr>
            <w:r w:rsidRPr="00F00CB3">
              <w:rPr>
                <w:rFonts w:ascii="Arial" w:hAnsi="Arial" w:cs="Arial"/>
                <w:color w:val="1F3864" w:themeColor="accent5" w:themeShade="80"/>
                <w:sz w:val="22"/>
                <w:szCs w:val="22"/>
              </w:rPr>
              <w:t>Short &amp; long answer exam questions</w:t>
            </w:r>
          </w:p>
          <w:p w14:paraId="12C840F6" w14:textId="77777777" w:rsidR="00B949FF" w:rsidRPr="00F00CB3" w:rsidRDefault="00B949FF" w:rsidP="00B949FF">
            <w:pPr>
              <w:rPr>
                <w:rFonts w:ascii="Gadugi" w:hAnsi="Gadugi" w:cs="Arial"/>
                <w:color w:val="1F3864" w:themeColor="accent5" w:themeShade="80"/>
                <w:sz w:val="24"/>
                <w:szCs w:val="24"/>
              </w:rPr>
            </w:pPr>
          </w:p>
        </w:tc>
      </w:tr>
    </w:tbl>
    <w:p w14:paraId="4106614D" w14:textId="77777777" w:rsidR="00AC056B" w:rsidRPr="00344FC8" w:rsidRDefault="00AC056B" w:rsidP="00EB284A">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D1FCE" w14:textId="77777777" w:rsidR="00A34AF4" w:rsidRDefault="00A34AF4" w:rsidP="00A2239D">
      <w:pPr>
        <w:spacing w:after="0" w:line="240" w:lineRule="auto"/>
      </w:pPr>
      <w:r>
        <w:separator/>
      </w:r>
    </w:p>
  </w:endnote>
  <w:endnote w:type="continuationSeparator" w:id="0">
    <w:p w14:paraId="78AE1C13" w14:textId="77777777" w:rsidR="00A34AF4" w:rsidRDefault="00A34AF4"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EEEB" w14:textId="77777777" w:rsidR="00A34AF4" w:rsidRDefault="00A34AF4" w:rsidP="00A2239D">
      <w:pPr>
        <w:spacing w:after="0" w:line="240" w:lineRule="auto"/>
      </w:pPr>
      <w:r>
        <w:separator/>
      </w:r>
    </w:p>
  </w:footnote>
  <w:footnote w:type="continuationSeparator" w:id="0">
    <w:p w14:paraId="45D492CF" w14:textId="77777777" w:rsidR="00A34AF4" w:rsidRDefault="00A34AF4"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2F11"/>
    <w:multiLevelType w:val="hybridMultilevel"/>
    <w:tmpl w:val="D15A1446"/>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423D1"/>
    <w:multiLevelType w:val="hybridMultilevel"/>
    <w:tmpl w:val="A7E4879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5D6F"/>
    <w:multiLevelType w:val="hybridMultilevel"/>
    <w:tmpl w:val="6806428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E13C5"/>
    <w:multiLevelType w:val="hybridMultilevel"/>
    <w:tmpl w:val="FC447F08"/>
    <w:lvl w:ilvl="0" w:tplc="253022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E013845"/>
    <w:multiLevelType w:val="hybridMultilevel"/>
    <w:tmpl w:val="D5162E98"/>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66965"/>
    <w:multiLevelType w:val="hybridMultilevel"/>
    <w:tmpl w:val="4A90D850"/>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F26F8"/>
    <w:multiLevelType w:val="hybridMultilevel"/>
    <w:tmpl w:val="789A520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134744"/>
    <w:multiLevelType w:val="hybridMultilevel"/>
    <w:tmpl w:val="022E14C4"/>
    <w:lvl w:ilvl="0" w:tplc="253022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F437A0"/>
    <w:multiLevelType w:val="hybridMultilevel"/>
    <w:tmpl w:val="7A3606B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637092">
    <w:abstractNumId w:val="3"/>
  </w:num>
  <w:num w:numId="2" w16cid:durableId="436145120">
    <w:abstractNumId w:val="8"/>
  </w:num>
  <w:num w:numId="3" w16cid:durableId="1823888159">
    <w:abstractNumId w:val="2"/>
  </w:num>
  <w:num w:numId="4" w16cid:durableId="1784496395">
    <w:abstractNumId w:val="6"/>
  </w:num>
  <w:num w:numId="5" w16cid:durableId="1060712179">
    <w:abstractNumId w:val="7"/>
  </w:num>
  <w:num w:numId="6" w16cid:durableId="271397346">
    <w:abstractNumId w:val="0"/>
  </w:num>
  <w:num w:numId="7" w16cid:durableId="860163949">
    <w:abstractNumId w:val="4"/>
  </w:num>
  <w:num w:numId="8" w16cid:durableId="198324821">
    <w:abstractNumId w:val="1"/>
  </w:num>
  <w:num w:numId="9" w16cid:durableId="57216089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3773"/>
    <w:rsid w:val="00092180"/>
    <w:rsid w:val="000A285E"/>
    <w:rsid w:val="000B0B64"/>
    <w:rsid w:val="000B60FD"/>
    <w:rsid w:val="000E09D4"/>
    <w:rsid w:val="000F19C3"/>
    <w:rsid w:val="000F6979"/>
    <w:rsid w:val="00110668"/>
    <w:rsid w:val="0012331A"/>
    <w:rsid w:val="00146AA9"/>
    <w:rsid w:val="00146B87"/>
    <w:rsid w:val="00147B3E"/>
    <w:rsid w:val="00174A2E"/>
    <w:rsid w:val="001E3F59"/>
    <w:rsid w:val="001E4F8D"/>
    <w:rsid w:val="001F00D2"/>
    <w:rsid w:val="001F1F0C"/>
    <w:rsid w:val="002335D5"/>
    <w:rsid w:val="002364A2"/>
    <w:rsid w:val="0024473E"/>
    <w:rsid w:val="002546B1"/>
    <w:rsid w:val="0025597F"/>
    <w:rsid w:val="00264601"/>
    <w:rsid w:val="00267249"/>
    <w:rsid w:val="00274194"/>
    <w:rsid w:val="002D22F8"/>
    <w:rsid w:val="00344FC8"/>
    <w:rsid w:val="00366E0F"/>
    <w:rsid w:val="0037283A"/>
    <w:rsid w:val="003813FE"/>
    <w:rsid w:val="00397B85"/>
    <w:rsid w:val="003A6942"/>
    <w:rsid w:val="003D0A50"/>
    <w:rsid w:val="003D536E"/>
    <w:rsid w:val="003E21F0"/>
    <w:rsid w:val="003F0752"/>
    <w:rsid w:val="00454F4C"/>
    <w:rsid w:val="004A0E56"/>
    <w:rsid w:val="004A2B06"/>
    <w:rsid w:val="004C0806"/>
    <w:rsid w:val="004C21E6"/>
    <w:rsid w:val="004C661B"/>
    <w:rsid w:val="004D70D0"/>
    <w:rsid w:val="004E5C05"/>
    <w:rsid w:val="004F0F4E"/>
    <w:rsid w:val="00525E1A"/>
    <w:rsid w:val="005729B2"/>
    <w:rsid w:val="005B4500"/>
    <w:rsid w:val="005D578B"/>
    <w:rsid w:val="005F4B6A"/>
    <w:rsid w:val="006127B0"/>
    <w:rsid w:val="0066650C"/>
    <w:rsid w:val="00684529"/>
    <w:rsid w:val="006A3BBD"/>
    <w:rsid w:val="006A5BDA"/>
    <w:rsid w:val="006B08D8"/>
    <w:rsid w:val="006C11A7"/>
    <w:rsid w:val="006D71DA"/>
    <w:rsid w:val="006F6894"/>
    <w:rsid w:val="007003D0"/>
    <w:rsid w:val="00761EB0"/>
    <w:rsid w:val="00774515"/>
    <w:rsid w:val="0078152C"/>
    <w:rsid w:val="00790383"/>
    <w:rsid w:val="0079174A"/>
    <w:rsid w:val="007D6C68"/>
    <w:rsid w:val="008010D4"/>
    <w:rsid w:val="00811F90"/>
    <w:rsid w:val="00814AA1"/>
    <w:rsid w:val="008325F6"/>
    <w:rsid w:val="0083429E"/>
    <w:rsid w:val="0083695F"/>
    <w:rsid w:val="0085456E"/>
    <w:rsid w:val="0085624D"/>
    <w:rsid w:val="00871DAF"/>
    <w:rsid w:val="00872A0E"/>
    <w:rsid w:val="008D2021"/>
    <w:rsid w:val="008F07B2"/>
    <w:rsid w:val="009316F7"/>
    <w:rsid w:val="009327B3"/>
    <w:rsid w:val="009543C0"/>
    <w:rsid w:val="0095781B"/>
    <w:rsid w:val="009742D2"/>
    <w:rsid w:val="00982D00"/>
    <w:rsid w:val="009C615C"/>
    <w:rsid w:val="00A2239D"/>
    <w:rsid w:val="00A2784D"/>
    <w:rsid w:val="00A34AF4"/>
    <w:rsid w:val="00AB601B"/>
    <w:rsid w:val="00AB7BBB"/>
    <w:rsid w:val="00AC056B"/>
    <w:rsid w:val="00AE33C0"/>
    <w:rsid w:val="00AE4628"/>
    <w:rsid w:val="00B0340B"/>
    <w:rsid w:val="00B166A6"/>
    <w:rsid w:val="00B31D40"/>
    <w:rsid w:val="00B62A71"/>
    <w:rsid w:val="00B62AF8"/>
    <w:rsid w:val="00B63C82"/>
    <w:rsid w:val="00B7595C"/>
    <w:rsid w:val="00B949FF"/>
    <w:rsid w:val="00BA1185"/>
    <w:rsid w:val="00BB1BEE"/>
    <w:rsid w:val="00BB42C7"/>
    <w:rsid w:val="00BC04B5"/>
    <w:rsid w:val="00C006F8"/>
    <w:rsid w:val="00CB5E3E"/>
    <w:rsid w:val="00CC077A"/>
    <w:rsid w:val="00CC3D41"/>
    <w:rsid w:val="00CD02FA"/>
    <w:rsid w:val="00CD2200"/>
    <w:rsid w:val="00CE5254"/>
    <w:rsid w:val="00D06766"/>
    <w:rsid w:val="00D16D06"/>
    <w:rsid w:val="00D57080"/>
    <w:rsid w:val="00D871D1"/>
    <w:rsid w:val="00DA50C9"/>
    <w:rsid w:val="00DF2D80"/>
    <w:rsid w:val="00E07B5A"/>
    <w:rsid w:val="00E33E52"/>
    <w:rsid w:val="00E4151F"/>
    <w:rsid w:val="00E45332"/>
    <w:rsid w:val="00E83325"/>
    <w:rsid w:val="00E83A73"/>
    <w:rsid w:val="00E9009F"/>
    <w:rsid w:val="00EB11D6"/>
    <w:rsid w:val="00EB284A"/>
    <w:rsid w:val="00EC421E"/>
    <w:rsid w:val="00EC7F62"/>
    <w:rsid w:val="00EE3716"/>
    <w:rsid w:val="00EE58DF"/>
    <w:rsid w:val="00F00CB3"/>
    <w:rsid w:val="00F23277"/>
    <w:rsid w:val="00F37C1C"/>
    <w:rsid w:val="00F63643"/>
    <w:rsid w:val="00F63D65"/>
    <w:rsid w:val="00FB2329"/>
    <w:rsid w:val="00FB4FD5"/>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567675">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17</cp:revision>
  <cp:lastPrinted>2022-12-06T07:20:00Z</cp:lastPrinted>
  <dcterms:created xsi:type="dcterms:W3CDTF">2024-08-31T09:24:00Z</dcterms:created>
  <dcterms:modified xsi:type="dcterms:W3CDTF">2026-10-06T21:49:00Z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